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356"/>
        <w:tblOverlap w:val="never"/>
        <w:tblW w:w="9906" w:type="dxa"/>
        <w:tblLook w:val="01E0" w:firstRow="1" w:lastRow="1" w:firstColumn="1" w:lastColumn="1" w:noHBand="0" w:noVBand="0"/>
      </w:tblPr>
      <w:tblGrid>
        <w:gridCol w:w="879"/>
        <w:gridCol w:w="3074"/>
        <w:gridCol w:w="1052"/>
        <w:gridCol w:w="3949"/>
        <w:gridCol w:w="952"/>
      </w:tblGrid>
      <w:tr w:rsidR="00095ED7" w:rsidRPr="009A4376" w:rsidTr="006409F8">
        <w:trPr>
          <w:trHeight w:val="983"/>
        </w:trPr>
        <w:tc>
          <w:tcPr>
            <w:tcW w:w="9906" w:type="dxa"/>
            <w:gridSpan w:val="5"/>
            <w:shd w:val="clear" w:color="auto" w:fill="E7E6E6" w:themeFill="background2"/>
          </w:tcPr>
          <w:p w:rsidR="006C435C" w:rsidRDefault="00095ED7" w:rsidP="00D5449E">
            <w:pPr>
              <w:spacing w:after="0" w:line="240" w:lineRule="auto"/>
              <w:jc w:val="center"/>
              <w:rPr>
                <w:rFonts w:ascii="Arial" w:hAnsi="Arial" w:cs="Arial"/>
                <w:b/>
                <w:bCs/>
                <w:sz w:val="28"/>
                <w:szCs w:val="28"/>
              </w:rPr>
            </w:pPr>
            <w:r w:rsidRPr="006C435C">
              <w:rPr>
                <w:rFonts w:ascii="Arial" w:hAnsi="Arial" w:cs="Arial"/>
                <w:b/>
                <w:bCs/>
                <w:sz w:val="28"/>
                <w:szCs w:val="28"/>
              </w:rPr>
              <w:t xml:space="preserve">TRAVAUX PREPARATOIRES </w:t>
            </w:r>
          </w:p>
          <w:p w:rsidR="00095ED7" w:rsidRPr="006C435C" w:rsidRDefault="00095ED7" w:rsidP="00D5449E">
            <w:pPr>
              <w:spacing w:after="0" w:line="240" w:lineRule="auto"/>
              <w:jc w:val="center"/>
              <w:rPr>
                <w:rFonts w:ascii="Arial" w:eastAsia="Batang" w:hAnsi="Arial" w:cs="Arial"/>
                <w:b/>
                <w:sz w:val="28"/>
                <w:szCs w:val="28"/>
                <w:lang w:eastAsia="fr-FR" w:bidi="ar-SA"/>
              </w:rPr>
            </w:pPr>
            <w:r w:rsidRPr="006C435C">
              <w:rPr>
                <w:rFonts w:ascii="Arial" w:hAnsi="Arial" w:cs="Arial"/>
                <w:b/>
                <w:bCs/>
                <w:sz w:val="28"/>
                <w:szCs w:val="28"/>
              </w:rPr>
              <w:t>POUR LA PLANIFICATION DE LA MISE EN OEUVRE DE LA DEUXIEME PHASE DE LA VISION DE DEVELOPPEMENT DE LONG TERME</w:t>
            </w:r>
          </w:p>
        </w:tc>
      </w:tr>
      <w:tr w:rsidR="00095ED7" w:rsidRPr="009A4376" w:rsidTr="006409F8">
        <w:trPr>
          <w:trHeight w:val="1406"/>
        </w:trPr>
        <w:tc>
          <w:tcPr>
            <w:tcW w:w="879" w:type="dxa"/>
          </w:tcPr>
          <w:p w:rsidR="00095ED7" w:rsidRPr="00095ED7" w:rsidRDefault="00095ED7" w:rsidP="00D5449E">
            <w:pPr>
              <w:spacing w:after="0" w:line="240" w:lineRule="auto"/>
              <w:jc w:val="center"/>
              <w:rPr>
                <w:rFonts w:asciiTheme="majorBidi" w:eastAsia="Batang" w:hAnsiTheme="majorBidi" w:cstheme="majorBidi"/>
                <w:sz w:val="20"/>
                <w:szCs w:val="18"/>
                <w:lang w:eastAsia="fr-FR" w:bidi="ar-SA"/>
              </w:rPr>
            </w:pPr>
          </w:p>
        </w:tc>
        <w:tc>
          <w:tcPr>
            <w:tcW w:w="8075" w:type="dxa"/>
            <w:gridSpan w:val="3"/>
            <w:vAlign w:val="center"/>
          </w:tcPr>
          <w:p w:rsidR="00095ED7" w:rsidRDefault="00095ED7" w:rsidP="00095ED7">
            <w:pPr>
              <w:spacing w:after="0"/>
              <w:jc w:val="center"/>
              <w:rPr>
                <w:rFonts w:asciiTheme="majorBidi" w:hAnsiTheme="majorBidi" w:cstheme="majorBidi"/>
                <w:b/>
                <w:bCs/>
                <w:sz w:val="32"/>
                <w:szCs w:val="32"/>
              </w:rPr>
            </w:pPr>
            <w:r>
              <w:rPr>
                <w:rFonts w:asciiTheme="majorBidi" w:hAnsiTheme="majorBidi" w:cstheme="majorBidi"/>
                <w:b/>
                <w:bCs/>
                <w:sz w:val="32"/>
                <w:szCs w:val="32"/>
              </w:rPr>
              <w:t>Conférences de consultations scientifiques</w:t>
            </w:r>
          </w:p>
          <w:p w:rsidR="00095ED7" w:rsidRPr="00095ED7" w:rsidRDefault="00095ED7" w:rsidP="00C4145B">
            <w:pPr>
              <w:spacing w:after="0"/>
              <w:jc w:val="center"/>
              <w:rPr>
                <w:rFonts w:asciiTheme="majorBidi" w:hAnsiTheme="majorBidi" w:cstheme="majorBidi"/>
                <w:bCs/>
                <w:sz w:val="32"/>
                <w:szCs w:val="32"/>
              </w:rPr>
            </w:pPr>
            <w:r>
              <w:rPr>
                <w:rFonts w:asciiTheme="majorBidi" w:hAnsiTheme="majorBidi" w:cstheme="majorBidi"/>
                <w:bCs/>
                <w:sz w:val="32"/>
                <w:szCs w:val="32"/>
              </w:rPr>
              <w:t xml:space="preserve">Yaoundé, </w:t>
            </w:r>
            <w:r w:rsidR="00C4145B">
              <w:rPr>
                <w:rFonts w:asciiTheme="majorBidi" w:hAnsiTheme="majorBidi" w:cstheme="majorBidi"/>
                <w:bCs/>
                <w:sz w:val="32"/>
                <w:szCs w:val="32"/>
              </w:rPr>
              <w:t>Palais des Congrès</w:t>
            </w:r>
          </w:p>
        </w:tc>
        <w:tc>
          <w:tcPr>
            <w:tcW w:w="952" w:type="dxa"/>
          </w:tcPr>
          <w:p w:rsidR="00095ED7" w:rsidRPr="009A4376" w:rsidRDefault="00095ED7" w:rsidP="00D5449E">
            <w:pPr>
              <w:spacing w:after="0" w:line="240" w:lineRule="auto"/>
              <w:jc w:val="center"/>
              <w:rPr>
                <w:rFonts w:asciiTheme="majorBidi" w:eastAsia="Batang" w:hAnsiTheme="majorBidi" w:cstheme="majorBidi"/>
                <w:sz w:val="20"/>
                <w:szCs w:val="18"/>
                <w:lang w:eastAsia="fr-FR" w:bidi="ar-SA"/>
              </w:rPr>
            </w:pPr>
          </w:p>
        </w:tc>
      </w:tr>
      <w:tr w:rsidR="006C435C" w:rsidRPr="009A4376" w:rsidTr="006409F8">
        <w:trPr>
          <w:trHeight w:val="893"/>
        </w:trPr>
        <w:tc>
          <w:tcPr>
            <w:tcW w:w="879" w:type="dxa"/>
          </w:tcPr>
          <w:p w:rsidR="006C435C" w:rsidRPr="00095ED7" w:rsidRDefault="006C435C" w:rsidP="00D5449E">
            <w:pPr>
              <w:spacing w:after="0" w:line="240" w:lineRule="auto"/>
              <w:jc w:val="center"/>
              <w:rPr>
                <w:rFonts w:asciiTheme="majorBidi" w:eastAsia="Batang" w:hAnsiTheme="majorBidi" w:cstheme="majorBidi"/>
                <w:sz w:val="20"/>
                <w:szCs w:val="18"/>
                <w:lang w:eastAsia="fr-FR" w:bidi="ar-SA"/>
              </w:rPr>
            </w:pPr>
          </w:p>
        </w:tc>
        <w:tc>
          <w:tcPr>
            <w:tcW w:w="8075" w:type="dxa"/>
            <w:gridSpan w:val="3"/>
            <w:vAlign w:val="center"/>
          </w:tcPr>
          <w:p w:rsidR="006C435C" w:rsidRDefault="006C435C" w:rsidP="006C435C">
            <w:pPr>
              <w:spacing w:after="0"/>
              <w:jc w:val="center"/>
              <w:rPr>
                <w:rFonts w:asciiTheme="majorBidi" w:hAnsiTheme="majorBidi" w:cstheme="majorBidi"/>
                <w:bCs/>
                <w:sz w:val="24"/>
                <w:szCs w:val="24"/>
              </w:rPr>
            </w:pPr>
            <w:r w:rsidRPr="006C435C">
              <w:rPr>
                <w:rFonts w:asciiTheme="majorBidi" w:hAnsiTheme="majorBidi" w:cstheme="majorBidi"/>
                <w:b/>
                <w:bCs/>
                <w:sz w:val="24"/>
                <w:szCs w:val="24"/>
              </w:rPr>
              <w:t>Thématique 10</w:t>
            </w:r>
          </w:p>
          <w:p w:rsidR="006C435C" w:rsidRPr="006C435C" w:rsidRDefault="006C435C" w:rsidP="006C435C">
            <w:pPr>
              <w:spacing w:after="0"/>
              <w:jc w:val="center"/>
              <w:rPr>
                <w:rFonts w:asciiTheme="majorBidi" w:hAnsiTheme="majorBidi" w:cstheme="majorBidi"/>
                <w:b/>
                <w:bCs/>
                <w:sz w:val="32"/>
                <w:szCs w:val="32"/>
                <w:u w:val="single"/>
              </w:rPr>
            </w:pPr>
            <w:r w:rsidRPr="006C435C">
              <w:rPr>
                <w:rFonts w:asciiTheme="majorBidi" w:hAnsiTheme="majorBidi" w:cstheme="majorBidi"/>
                <w:bCs/>
                <w:sz w:val="24"/>
                <w:szCs w:val="24"/>
              </w:rPr>
              <w:t>Décentralisation, développement inclusif et réduction des inégalités</w:t>
            </w:r>
            <w:r>
              <w:rPr>
                <w:rFonts w:asciiTheme="majorBidi" w:hAnsiTheme="majorBidi" w:cstheme="majorBidi"/>
                <w:bCs/>
                <w:sz w:val="24"/>
                <w:szCs w:val="24"/>
              </w:rPr>
              <w:t xml:space="preserve"> </w:t>
            </w:r>
            <w:r w:rsidRPr="006C435C">
              <w:rPr>
                <w:rFonts w:asciiTheme="majorBidi" w:hAnsiTheme="majorBidi" w:cstheme="majorBidi"/>
                <w:bCs/>
                <w:sz w:val="24"/>
                <w:szCs w:val="24"/>
              </w:rPr>
              <w:t>spatiales : dé</w:t>
            </w:r>
            <w:r>
              <w:rPr>
                <w:rFonts w:asciiTheme="majorBidi" w:hAnsiTheme="majorBidi" w:cstheme="majorBidi"/>
                <w:bCs/>
                <w:sz w:val="24"/>
                <w:szCs w:val="24"/>
              </w:rPr>
              <w:t>fis et enjeux pour l’émergence.</w:t>
            </w:r>
          </w:p>
        </w:tc>
        <w:tc>
          <w:tcPr>
            <w:tcW w:w="952" w:type="dxa"/>
          </w:tcPr>
          <w:p w:rsidR="006C435C" w:rsidRPr="009A4376" w:rsidRDefault="006C435C" w:rsidP="00D5449E">
            <w:pPr>
              <w:spacing w:after="0" w:line="240" w:lineRule="auto"/>
              <w:jc w:val="center"/>
              <w:rPr>
                <w:rFonts w:asciiTheme="majorBidi" w:eastAsia="Batang" w:hAnsiTheme="majorBidi" w:cstheme="majorBidi"/>
                <w:sz w:val="20"/>
                <w:szCs w:val="18"/>
                <w:lang w:eastAsia="fr-FR" w:bidi="ar-SA"/>
              </w:rPr>
            </w:pPr>
          </w:p>
        </w:tc>
      </w:tr>
      <w:tr w:rsidR="001C65AF" w:rsidRPr="009A4376" w:rsidTr="006409F8">
        <w:trPr>
          <w:trHeight w:val="2007"/>
        </w:trPr>
        <w:tc>
          <w:tcPr>
            <w:tcW w:w="879" w:type="dxa"/>
          </w:tcPr>
          <w:p w:rsidR="001C65AF" w:rsidRPr="00095ED7" w:rsidRDefault="001C65AF" w:rsidP="00D5449E">
            <w:pPr>
              <w:spacing w:after="0" w:line="240" w:lineRule="auto"/>
              <w:jc w:val="center"/>
              <w:rPr>
                <w:rFonts w:asciiTheme="majorBidi" w:eastAsia="Batang" w:hAnsiTheme="majorBidi" w:cstheme="majorBidi"/>
                <w:sz w:val="20"/>
                <w:szCs w:val="18"/>
                <w:lang w:eastAsia="fr-FR" w:bidi="ar-SA"/>
              </w:rPr>
            </w:pPr>
          </w:p>
        </w:tc>
        <w:tc>
          <w:tcPr>
            <w:tcW w:w="8075" w:type="dxa"/>
            <w:gridSpan w:val="3"/>
            <w:vAlign w:val="center"/>
          </w:tcPr>
          <w:p w:rsidR="001C65AF" w:rsidRPr="005309C4" w:rsidRDefault="006C435C" w:rsidP="00D5449E">
            <w:pPr>
              <w:spacing w:after="0"/>
              <w:jc w:val="center"/>
              <w:rPr>
                <w:rFonts w:asciiTheme="majorBidi" w:hAnsiTheme="majorBidi" w:cstheme="majorBidi"/>
                <w:b/>
                <w:bCs/>
                <w:sz w:val="28"/>
                <w:szCs w:val="28"/>
                <w:u w:val="single"/>
              </w:rPr>
            </w:pPr>
            <w:r w:rsidRPr="005309C4">
              <w:rPr>
                <w:rFonts w:asciiTheme="majorBidi" w:hAnsiTheme="majorBidi" w:cstheme="majorBidi"/>
                <w:b/>
                <w:bCs/>
                <w:sz w:val="28"/>
                <w:szCs w:val="28"/>
                <w:u w:val="single"/>
              </w:rPr>
              <w:t>T</w:t>
            </w:r>
            <w:r w:rsidR="005309C4" w:rsidRPr="005309C4">
              <w:rPr>
                <w:rFonts w:asciiTheme="majorBidi" w:hAnsiTheme="majorBidi" w:cstheme="majorBidi"/>
                <w:b/>
                <w:bCs/>
                <w:sz w:val="28"/>
                <w:szCs w:val="28"/>
                <w:u w:val="single"/>
              </w:rPr>
              <w:t>ITRE DE LA COMMUNICATION</w:t>
            </w:r>
          </w:p>
          <w:p w:rsidR="001C65AF" w:rsidRPr="001C65AF" w:rsidRDefault="001C65AF" w:rsidP="00D5449E">
            <w:pPr>
              <w:spacing w:after="0"/>
              <w:jc w:val="center"/>
              <w:rPr>
                <w:rFonts w:asciiTheme="majorBidi" w:hAnsiTheme="majorBidi" w:cstheme="majorBidi"/>
                <w:b/>
                <w:bCs/>
                <w:sz w:val="30"/>
                <w:szCs w:val="30"/>
              </w:rPr>
            </w:pPr>
            <w:r w:rsidRPr="005309C4">
              <w:rPr>
                <w:rFonts w:asciiTheme="majorBidi" w:hAnsiTheme="majorBidi" w:cstheme="majorBidi"/>
                <w:b/>
                <w:bCs/>
                <w:sz w:val="28"/>
                <w:szCs w:val="28"/>
              </w:rPr>
              <w:t>CONSTRUCTION D’UN INDICE DE REPARTITION EQUITABLE DES RESSOURCES D’INVESTISSEMENT ENTRE LES COMMUNES AU CAMEROUN</w:t>
            </w:r>
          </w:p>
        </w:tc>
        <w:tc>
          <w:tcPr>
            <w:tcW w:w="952" w:type="dxa"/>
          </w:tcPr>
          <w:p w:rsidR="001C65AF" w:rsidRPr="009A4376" w:rsidRDefault="001C65AF" w:rsidP="00D5449E">
            <w:pPr>
              <w:spacing w:after="0" w:line="240" w:lineRule="auto"/>
              <w:jc w:val="center"/>
              <w:rPr>
                <w:rFonts w:asciiTheme="majorBidi" w:eastAsia="Batang" w:hAnsiTheme="majorBidi" w:cstheme="majorBidi"/>
                <w:sz w:val="20"/>
                <w:szCs w:val="18"/>
                <w:lang w:eastAsia="fr-FR" w:bidi="ar-SA"/>
              </w:rPr>
            </w:pPr>
          </w:p>
        </w:tc>
      </w:tr>
      <w:tr w:rsidR="001C65AF" w:rsidRPr="009A4376" w:rsidTr="003559D5">
        <w:trPr>
          <w:trHeight w:val="525"/>
        </w:trPr>
        <w:tc>
          <w:tcPr>
            <w:tcW w:w="3953" w:type="dxa"/>
            <w:gridSpan w:val="2"/>
          </w:tcPr>
          <w:p w:rsidR="001C65AF" w:rsidRPr="009A4376" w:rsidRDefault="001C65AF" w:rsidP="00D5449E">
            <w:pPr>
              <w:spacing w:after="0" w:line="240" w:lineRule="auto"/>
              <w:jc w:val="center"/>
              <w:rPr>
                <w:rFonts w:asciiTheme="majorBidi" w:eastAsia="Batang" w:hAnsiTheme="majorBidi" w:cstheme="majorBidi"/>
                <w:sz w:val="20"/>
                <w:szCs w:val="18"/>
                <w:lang w:eastAsia="fr-FR" w:bidi="ar-SA"/>
              </w:rPr>
            </w:pPr>
          </w:p>
        </w:tc>
        <w:tc>
          <w:tcPr>
            <w:tcW w:w="1052" w:type="dxa"/>
          </w:tcPr>
          <w:p w:rsidR="001C65AF" w:rsidRPr="009A4376" w:rsidRDefault="001C65AF" w:rsidP="00D5449E">
            <w:pPr>
              <w:spacing w:after="0" w:line="240" w:lineRule="auto"/>
              <w:jc w:val="center"/>
              <w:rPr>
                <w:rFonts w:asciiTheme="majorBidi" w:eastAsia="Batang" w:hAnsiTheme="majorBidi" w:cstheme="majorBidi"/>
                <w:sz w:val="20"/>
                <w:szCs w:val="18"/>
                <w:lang w:eastAsia="fr-FR" w:bidi="ar-SA"/>
              </w:rPr>
            </w:pPr>
          </w:p>
        </w:tc>
        <w:tc>
          <w:tcPr>
            <w:tcW w:w="4901" w:type="dxa"/>
            <w:gridSpan w:val="2"/>
          </w:tcPr>
          <w:p w:rsidR="001C65AF" w:rsidRPr="009A4376" w:rsidRDefault="001C65AF" w:rsidP="00D5449E">
            <w:pPr>
              <w:spacing w:after="0" w:line="240" w:lineRule="auto"/>
              <w:jc w:val="center"/>
              <w:rPr>
                <w:rFonts w:asciiTheme="majorBidi" w:eastAsia="Batang" w:hAnsiTheme="majorBidi" w:cstheme="majorBidi"/>
                <w:sz w:val="20"/>
                <w:szCs w:val="18"/>
                <w:lang w:eastAsia="fr-FR" w:bidi="ar-SA"/>
              </w:rPr>
            </w:pPr>
          </w:p>
        </w:tc>
      </w:tr>
      <w:tr w:rsidR="001C65AF" w:rsidRPr="009A4376" w:rsidTr="003559D5">
        <w:trPr>
          <w:trHeight w:val="300"/>
        </w:trPr>
        <w:tc>
          <w:tcPr>
            <w:tcW w:w="9906" w:type="dxa"/>
            <w:gridSpan w:val="5"/>
            <w:vAlign w:val="center"/>
          </w:tcPr>
          <w:p w:rsidR="001C65AF" w:rsidRPr="009A4376" w:rsidRDefault="005309C4" w:rsidP="005309C4">
            <w:pPr>
              <w:spacing w:after="0" w:line="240" w:lineRule="auto"/>
              <w:jc w:val="center"/>
              <w:rPr>
                <w:rFonts w:asciiTheme="majorBidi" w:eastAsia="Batang" w:hAnsiTheme="majorBidi" w:cstheme="majorBidi"/>
                <w:b/>
                <w:sz w:val="20"/>
                <w:szCs w:val="18"/>
                <w:lang w:eastAsia="fr-FR" w:bidi="ar-SA"/>
              </w:rPr>
            </w:pPr>
            <w:r>
              <w:rPr>
                <w:rFonts w:asciiTheme="majorBidi" w:eastAsia="Batang" w:hAnsiTheme="majorBidi" w:cstheme="majorBidi"/>
                <w:b/>
                <w:sz w:val="32"/>
                <w:szCs w:val="18"/>
                <w:lang w:eastAsia="fr-FR" w:bidi="ar-SA"/>
              </w:rPr>
              <w:t>AUTEUR</w:t>
            </w:r>
          </w:p>
        </w:tc>
      </w:tr>
      <w:tr w:rsidR="001C65AF" w:rsidRPr="009A4376" w:rsidTr="003559D5">
        <w:trPr>
          <w:trHeight w:val="654"/>
        </w:trPr>
        <w:tc>
          <w:tcPr>
            <w:tcW w:w="9906" w:type="dxa"/>
            <w:gridSpan w:val="5"/>
            <w:vAlign w:val="center"/>
          </w:tcPr>
          <w:p w:rsidR="001C65AF" w:rsidRDefault="005309C4" w:rsidP="005309C4">
            <w:pPr>
              <w:spacing w:after="0" w:line="240" w:lineRule="auto"/>
              <w:jc w:val="center"/>
              <w:rPr>
                <w:rFonts w:asciiTheme="majorBidi" w:eastAsia="Batang" w:hAnsiTheme="majorBidi" w:cstheme="majorBidi"/>
                <w:b/>
                <w:sz w:val="24"/>
                <w:szCs w:val="18"/>
                <w:lang w:eastAsia="fr-FR" w:bidi="ar-SA"/>
              </w:rPr>
            </w:pPr>
            <w:r w:rsidRPr="009A4376">
              <w:rPr>
                <w:rFonts w:asciiTheme="majorBidi" w:eastAsia="Batang" w:hAnsiTheme="majorBidi" w:cstheme="majorBidi"/>
                <w:b/>
                <w:sz w:val="24"/>
                <w:szCs w:val="18"/>
                <w:lang w:eastAsia="fr-FR" w:bidi="ar-SA"/>
              </w:rPr>
              <w:t>LOTY Pierre Jean-Daniel</w:t>
            </w:r>
          </w:p>
          <w:p w:rsidR="00F21F96" w:rsidRDefault="00F21F96" w:rsidP="005309C4">
            <w:pPr>
              <w:spacing w:after="0" w:line="240" w:lineRule="auto"/>
              <w:jc w:val="center"/>
              <w:rPr>
                <w:rFonts w:asciiTheme="majorBidi" w:eastAsia="Batang" w:hAnsiTheme="majorBidi" w:cstheme="majorBidi"/>
                <w:sz w:val="24"/>
                <w:szCs w:val="18"/>
                <w:lang w:eastAsia="fr-FR" w:bidi="ar-SA"/>
              </w:rPr>
            </w:pPr>
            <w:r>
              <w:rPr>
                <w:rFonts w:asciiTheme="majorBidi" w:eastAsia="Batang" w:hAnsiTheme="majorBidi" w:cstheme="majorBidi"/>
                <w:sz w:val="24"/>
                <w:szCs w:val="18"/>
                <w:lang w:eastAsia="fr-FR" w:bidi="ar-SA"/>
              </w:rPr>
              <w:t>Consultant au Cabinet ICJ-Cameroun</w:t>
            </w:r>
          </w:p>
          <w:p w:rsidR="00F21F96" w:rsidRDefault="004F4833" w:rsidP="005309C4">
            <w:pPr>
              <w:spacing w:after="0" w:line="240" w:lineRule="auto"/>
              <w:jc w:val="center"/>
              <w:rPr>
                <w:rFonts w:asciiTheme="majorBidi" w:eastAsia="Batang" w:hAnsiTheme="majorBidi" w:cstheme="majorBidi"/>
                <w:sz w:val="24"/>
                <w:szCs w:val="18"/>
                <w:lang w:eastAsia="fr-FR" w:bidi="ar-SA"/>
              </w:rPr>
            </w:pPr>
            <w:r>
              <w:rPr>
                <w:rFonts w:asciiTheme="majorBidi" w:eastAsia="Batang" w:hAnsiTheme="majorBidi" w:cstheme="majorBidi"/>
                <w:sz w:val="24"/>
                <w:szCs w:val="18"/>
                <w:lang w:eastAsia="fr-FR" w:bidi="ar-SA"/>
              </w:rPr>
              <w:t>Membre du</w:t>
            </w:r>
            <w:r w:rsidR="00E20D23">
              <w:rPr>
                <w:rFonts w:asciiTheme="majorBidi" w:eastAsia="Batang" w:hAnsiTheme="majorBidi" w:cstheme="majorBidi"/>
                <w:sz w:val="24"/>
                <w:szCs w:val="18"/>
                <w:lang w:eastAsia="fr-FR" w:bidi="ar-SA"/>
              </w:rPr>
              <w:t xml:space="preserve"> Groupe de Recherche Local IFORD-CARE-IFA</w:t>
            </w:r>
          </w:p>
          <w:p w:rsidR="00133ED6" w:rsidRPr="00133ED6" w:rsidRDefault="00133ED6" w:rsidP="005309C4">
            <w:pPr>
              <w:spacing w:after="0" w:line="240" w:lineRule="auto"/>
              <w:jc w:val="center"/>
              <w:rPr>
                <w:rFonts w:asciiTheme="majorBidi" w:eastAsia="Batang" w:hAnsiTheme="majorBidi" w:cstheme="majorBidi"/>
                <w:sz w:val="24"/>
                <w:szCs w:val="18"/>
                <w:lang w:eastAsia="fr-FR" w:bidi="ar-SA"/>
              </w:rPr>
            </w:pPr>
            <w:r w:rsidRPr="00133ED6">
              <w:rPr>
                <w:rFonts w:asciiTheme="majorBidi" w:eastAsia="Batang" w:hAnsiTheme="majorBidi" w:cstheme="majorBidi"/>
                <w:sz w:val="24"/>
                <w:szCs w:val="18"/>
                <w:lang w:eastAsia="fr-FR" w:bidi="ar-SA"/>
              </w:rPr>
              <w:t>Tel : 651 48 00 24</w:t>
            </w:r>
          </w:p>
          <w:p w:rsidR="006A08A8" w:rsidRPr="00133ED6" w:rsidRDefault="00133ED6" w:rsidP="00207A36">
            <w:pPr>
              <w:spacing w:after="0" w:line="240" w:lineRule="auto"/>
              <w:jc w:val="center"/>
              <w:rPr>
                <w:rFonts w:asciiTheme="majorBidi" w:eastAsia="Batang" w:hAnsiTheme="majorBidi" w:cstheme="majorBidi"/>
                <w:sz w:val="24"/>
                <w:szCs w:val="18"/>
                <w:lang w:eastAsia="fr-FR" w:bidi="ar-SA"/>
              </w:rPr>
            </w:pPr>
            <w:r w:rsidRPr="00133ED6">
              <w:rPr>
                <w:rFonts w:asciiTheme="majorBidi" w:eastAsia="Batang" w:hAnsiTheme="majorBidi" w:cstheme="majorBidi"/>
                <w:sz w:val="24"/>
                <w:szCs w:val="18"/>
                <w:lang w:eastAsia="fr-FR" w:bidi="ar-SA"/>
              </w:rPr>
              <w:t xml:space="preserve">Email : </w:t>
            </w:r>
            <w:hyperlink r:id="rId8" w:history="1">
              <w:r w:rsidR="006A08A8" w:rsidRPr="00FC279B">
                <w:rPr>
                  <w:rStyle w:val="Lienhypertexte"/>
                  <w:rFonts w:asciiTheme="majorBidi" w:eastAsia="Batang" w:hAnsiTheme="majorBidi" w:cstheme="majorBidi"/>
                  <w:sz w:val="24"/>
                  <w:szCs w:val="18"/>
                  <w:lang w:eastAsia="fr-FR" w:bidi="ar-SA"/>
                </w:rPr>
                <w:t>danieloty@yahoo.com</w:t>
              </w:r>
            </w:hyperlink>
            <w:r w:rsidR="006A08A8">
              <w:rPr>
                <w:rFonts w:asciiTheme="majorBidi" w:eastAsia="Batang" w:hAnsiTheme="majorBidi" w:cstheme="majorBidi"/>
                <w:sz w:val="24"/>
                <w:szCs w:val="18"/>
                <w:lang w:eastAsia="fr-FR" w:bidi="ar-SA"/>
              </w:rPr>
              <w:t xml:space="preserve"> </w:t>
            </w:r>
          </w:p>
          <w:p w:rsidR="00133ED6" w:rsidRPr="005309C4" w:rsidRDefault="00133ED6" w:rsidP="005309C4">
            <w:pPr>
              <w:spacing w:after="0" w:line="240" w:lineRule="auto"/>
              <w:jc w:val="center"/>
              <w:rPr>
                <w:rFonts w:asciiTheme="majorBidi" w:eastAsia="Batang" w:hAnsiTheme="majorBidi" w:cstheme="majorBidi"/>
                <w:b/>
                <w:sz w:val="24"/>
                <w:szCs w:val="18"/>
                <w:lang w:eastAsia="fr-FR" w:bidi="ar-SA"/>
              </w:rPr>
            </w:pPr>
          </w:p>
        </w:tc>
      </w:tr>
      <w:tr w:rsidR="001C65AF" w:rsidRPr="009A4376" w:rsidTr="003559D5">
        <w:trPr>
          <w:trHeight w:val="261"/>
        </w:trPr>
        <w:tc>
          <w:tcPr>
            <w:tcW w:w="3953" w:type="dxa"/>
            <w:gridSpan w:val="2"/>
            <w:vAlign w:val="center"/>
          </w:tcPr>
          <w:p w:rsidR="001C65AF" w:rsidRPr="009A4376" w:rsidRDefault="001C65AF" w:rsidP="00D5449E">
            <w:pPr>
              <w:spacing w:after="0" w:line="240" w:lineRule="auto"/>
              <w:jc w:val="center"/>
              <w:rPr>
                <w:rFonts w:asciiTheme="majorBidi" w:eastAsia="Batang" w:hAnsiTheme="majorBidi" w:cstheme="majorBidi"/>
                <w:sz w:val="20"/>
                <w:szCs w:val="18"/>
                <w:lang w:eastAsia="fr-FR" w:bidi="ar-SA"/>
              </w:rPr>
            </w:pPr>
          </w:p>
        </w:tc>
        <w:tc>
          <w:tcPr>
            <w:tcW w:w="1052" w:type="dxa"/>
            <w:vAlign w:val="center"/>
          </w:tcPr>
          <w:p w:rsidR="001C65AF" w:rsidRPr="009A4376" w:rsidRDefault="001C65AF" w:rsidP="00D5449E">
            <w:pPr>
              <w:spacing w:after="0" w:line="240" w:lineRule="auto"/>
              <w:jc w:val="center"/>
              <w:rPr>
                <w:rFonts w:asciiTheme="majorBidi" w:eastAsia="Batang" w:hAnsiTheme="majorBidi" w:cstheme="majorBidi"/>
                <w:sz w:val="20"/>
                <w:szCs w:val="18"/>
                <w:lang w:eastAsia="fr-FR" w:bidi="ar-SA"/>
              </w:rPr>
            </w:pPr>
          </w:p>
        </w:tc>
        <w:tc>
          <w:tcPr>
            <w:tcW w:w="4901" w:type="dxa"/>
            <w:gridSpan w:val="2"/>
            <w:vAlign w:val="center"/>
          </w:tcPr>
          <w:p w:rsidR="001C65AF" w:rsidRPr="009A4376" w:rsidRDefault="001C65AF" w:rsidP="00D5449E">
            <w:pPr>
              <w:spacing w:after="0" w:line="240" w:lineRule="auto"/>
              <w:jc w:val="center"/>
              <w:rPr>
                <w:rFonts w:asciiTheme="majorBidi" w:eastAsia="Batang" w:hAnsiTheme="majorBidi" w:cstheme="majorBidi"/>
                <w:sz w:val="20"/>
                <w:szCs w:val="18"/>
                <w:lang w:eastAsia="fr-FR" w:bidi="ar-SA"/>
              </w:rPr>
            </w:pPr>
          </w:p>
        </w:tc>
      </w:tr>
      <w:tr w:rsidR="001C65AF" w:rsidRPr="009A4376" w:rsidTr="003559D5">
        <w:trPr>
          <w:trHeight w:val="147"/>
        </w:trPr>
        <w:tc>
          <w:tcPr>
            <w:tcW w:w="9906" w:type="dxa"/>
            <w:gridSpan w:val="5"/>
            <w:vAlign w:val="center"/>
          </w:tcPr>
          <w:p w:rsidR="001C65AF" w:rsidRPr="009A4376" w:rsidRDefault="005309C4" w:rsidP="00D5449E">
            <w:pPr>
              <w:spacing w:after="0" w:line="240" w:lineRule="auto"/>
              <w:jc w:val="center"/>
              <w:rPr>
                <w:rFonts w:asciiTheme="majorBidi" w:eastAsia="Batang" w:hAnsiTheme="majorBidi" w:cstheme="majorBidi"/>
                <w:sz w:val="20"/>
                <w:szCs w:val="18"/>
                <w:lang w:eastAsia="fr-FR" w:bidi="ar-SA"/>
              </w:rPr>
            </w:pPr>
            <w:r>
              <w:rPr>
                <w:rFonts w:asciiTheme="majorBidi" w:eastAsia="Batang" w:hAnsiTheme="majorBidi" w:cstheme="majorBidi"/>
                <w:b/>
                <w:sz w:val="32"/>
                <w:szCs w:val="18"/>
                <w:lang w:eastAsia="fr-FR" w:bidi="ar-SA"/>
              </w:rPr>
              <w:t>CO-AUTEUR</w:t>
            </w:r>
          </w:p>
        </w:tc>
      </w:tr>
      <w:tr w:rsidR="001C65AF" w:rsidRPr="009A4376" w:rsidTr="003559D5">
        <w:trPr>
          <w:trHeight w:val="265"/>
        </w:trPr>
        <w:tc>
          <w:tcPr>
            <w:tcW w:w="9906" w:type="dxa"/>
            <w:gridSpan w:val="5"/>
            <w:vAlign w:val="center"/>
          </w:tcPr>
          <w:p w:rsidR="001C65AF" w:rsidRPr="00D536B5" w:rsidRDefault="005309C4" w:rsidP="00D5449E">
            <w:pPr>
              <w:spacing w:after="0" w:line="240" w:lineRule="auto"/>
              <w:jc w:val="center"/>
              <w:rPr>
                <w:rFonts w:asciiTheme="majorBidi" w:eastAsia="Batang" w:hAnsiTheme="majorBidi" w:cstheme="majorBidi"/>
                <w:b/>
                <w:sz w:val="24"/>
                <w:szCs w:val="24"/>
                <w:lang w:eastAsia="fr-FR" w:bidi="ar-SA"/>
              </w:rPr>
            </w:pPr>
            <w:r w:rsidRPr="00D536B5">
              <w:rPr>
                <w:rFonts w:asciiTheme="majorBidi" w:eastAsia="Batang" w:hAnsiTheme="majorBidi" w:cstheme="majorBidi"/>
                <w:b/>
                <w:sz w:val="24"/>
                <w:szCs w:val="24"/>
                <w:lang w:eastAsia="fr-FR" w:bidi="ar-SA"/>
              </w:rPr>
              <w:t>ASSAKO ESSIBEN Jean Pierre</w:t>
            </w:r>
          </w:p>
        </w:tc>
      </w:tr>
      <w:tr w:rsidR="001C65AF" w:rsidRPr="009A4376" w:rsidTr="003559D5">
        <w:trPr>
          <w:trHeight w:val="360"/>
        </w:trPr>
        <w:tc>
          <w:tcPr>
            <w:tcW w:w="9906" w:type="dxa"/>
            <w:gridSpan w:val="5"/>
            <w:vAlign w:val="center"/>
          </w:tcPr>
          <w:p w:rsidR="00D02244" w:rsidRDefault="007D0170" w:rsidP="00D02244">
            <w:pPr>
              <w:spacing w:after="0" w:line="240" w:lineRule="auto"/>
              <w:jc w:val="center"/>
              <w:rPr>
                <w:rFonts w:asciiTheme="majorBidi" w:eastAsia="Batang" w:hAnsiTheme="majorBidi" w:cstheme="majorBidi"/>
                <w:sz w:val="24"/>
                <w:szCs w:val="18"/>
                <w:lang w:eastAsia="fr-FR" w:bidi="ar-SA"/>
              </w:rPr>
            </w:pPr>
            <w:r>
              <w:rPr>
                <w:rFonts w:asciiTheme="majorBidi" w:eastAsia="Batang" w:hAnsiTheme="majorBidi" w:cstheme="majorBidi"/>
                <w:sz w:val="24"/>
                <w:szCs w:val="18"/>
                <w:lang w:eastAsia="fr-FR" w:bidi="ar-SA"/>
              </w:rPr>
              <w:t xml:space="preserve">Doctorant à la Faculté des Sciences Economiques </w:t>
            </w:r>
          </w:p>
          <w:p w:rsidR="00D536B5" w:rsidRDefault="007D0170" w:rsidP="00D02244">
            <w:pPr>
              <w:spacing w:after="0" w:line="240" w:lineRule="auto"/>
              <w:jc w:val="center"/>
              <w:rPr>
                <w:rFonts w:asciiTheme="majorBidi" w:eastAsia="Batang" w:hAnsiTheme="majorBidi" w:cstheme="majorBidi"/>
                <w:sz w:val="24"/>
                <w:szCs w:val="18"/>
                <w:lang w:eastAsia="fr-FR" w:bidi="ar-SA"/>
              </w:rPr>
            </w:pPr>
            <w:r>
              <w:rPr>
                <w:rFonts w:asciiTheme="majorBidi" w:eastAsia="Batang" w:hAnsiTheme="majorBidi" w:cstheme="majorBidi"/>
                <w:sz w:val="24"/>
                <w:szCs w:val="18"/>
                <w:lang w:eastAsia="fr-FR" w:bidi="ar-SA"/>
              </w:rPr>
              <w:t xml:space="preserve">et de Gestion de l’Université de Yaoundé 2 SOA </w:t>
            </w:r>
          </w:p>
          <w:p w:rsidR="00207A36" w:rsidRPr="00133ED6" w:rsidRDefault="00207A36" w:rsidP="00207A36">
            <w:pPr>
              <w:spacing w:after="0" w:line="240" w:lineRule="auto"/>
              <w:jc w:val="center"/>
              <w:rPr>
                <w:rFonts w:asciiTheme="majorBidi" w:eastAsia="Batang" w:hAnsiTheme="majorBidi" w:cstheme="majorBidi"/>
                <w:sz w:val="24"/>
                <w:szCs w:val="18"/>
                <w:lang w:eastAsia="fr-FR" w:bidi="ar-SA"/>
              </w:rPr>
            </w:pPr>
            <w:r w:rsidRPr="00133ED6">
              <w:rPr>
                <w:rFonts w:asciiTheme="majorBidi" w:eastAsia="Batang" w:hAnsiTheme="majorBidi" w:cstheme="majorBidi"/>
                <w:sz w:val="24"/>
                <w:szCs w:val="18"/>
                <w:lang w:eastAsia="fr-FR" w:bidi="ar-SA"/>
              </w:rPr>
              <w:t>Tel : 6</w:t>
            </w:r>
            <w:r>
              <w:rPr>
                <w:rFonts w:asciiTheme="majorBidi" w:eastAsia="Batang" w:hAnsiTheme="majorBidi" w:cstheme="majorBidi"/>
                <w:sz w:val="24"/>
                <w:szCs w:val="18"/>
                <w:lang w:eastAsia="fr-FR" w:bidi="ar-SA"/>
              </w:rPr>
              <w:t>96</w:t>
            </w:r>
            <w:r w:rsidRPr="00133ED6">
              <w:rPr>
                <w:rFonts w:asciiTheme="majorBidi" w:eastAsia="Batang" w:hAnsiTheme="majorBidi" w:cstheme="majorBidi"/>
                <w:sz w:val="24"/>
                <w:szCs w:val="18"/>
                <w:lang w:eastAsia="fr-FR" w:bidi="ar-SA"/>
              </w:rPr>
              <w:t xml:space="preserve"> 4</w:t>
            </w:r>
            <w:r>
              <w:rPr>
                <w:rFonts w:asciiTheme="majorBidi" w:eastAsia="Batang" w:hAnsiTheme="majorBidi" w:cstheme="majorBidi"/>
                <w:sz w:val="24"/>
                <w:szCs w:val="18"/>
                <w:lang w:eastAsia="fr-FR" w:bidi="ar-SA"/>
              </w:rPr>
              <w:t>0</w:t>
            </w:r>
            <w:r w:rsidRPr="00133ED6">
              <w:rPr>
                <w:rFonts w:asciiTheme="majorBidi" w:eastAsia="Batang" w:hAnsiTheme="majorBidi" w:cstheme="majorBidi"/>
                <w:sz w:val="24"/>
                <w:szCs w:val="18"/>
                <w:lang w:eastAsia="fr-FR" w:bidi="ar-SA"/>
              </w:rPr>
              <w:t xml:space="preserve"> </w:t>
            </w:r>
            <w:r>
              <w:rPr>
                <w:rFonts w:asciiTheme="majorBidi" w:eastAsia="Batang" w:hAnsiTheme="majorBidi" w:cstheme="majorBidi"/>
                <w:sz w:val="24"/>
                <w:szCs w:val="18"/>
                <w:lang w:eastAsia="fr-FR" w:bidi="ar-SA"/>
              </w:rPr>
              <w:t>68</w:t>
            </w:r>
            <w:r w:rsidRPr="00133ED6">
              <w:rPr>
                <w:rFonts w:asciiTheme="majorBidi" w:eastAsia="Batang" w:hAnsiTheme="majorBidi" w:cstheme="majorBidi"/>
                <w:sz w:val="24"/>
                <w:szCs w:val="18"/>
                <w:lang w:eastAsia="fr-FR" w:bidi="ar-SA"/>
              </w:rPr>
              <w:t xml:space="preserve"> </w:t>
            </w:r>
            <w:r>
              <w:rPr>
                <w:rFonts w:asciiTheme="majorBidi" w:eastAsia="Batang" w:hAnsiTheme="majorBidi" w:cstheme="majorBidi"/>
                <w:sz w:val="24"/>
                <w:szCs w:val="18"/>
                <w:lang w:eastAsia="fr-FR" w:bidi="ar-SA"/>
              </w:rPr>
              <w:t>63</w:t>
            </w:r>
          </w:p>
          <w:p w:rsidR="00207A36" w:rsidRPr="00133ED6" w:rsidRDefault="00207A36" w:rsidP="00207A36">
            <w:pPr>
              <w:spacing w:after="0" w:line="240" w:lineRule="auto"/>
              <w:jc w:val="center"/>
              <w:rPr>
                <w:rFonts w:asciiTheme="majorBidi" w:eastAsia="Batang" w:hAnsiTheme="majorBidi" w:cstheme="majorBidi"/>
                <w:sz w:val="24"/>
                <w:szCs w:val="18"/>
                <w:lang w:eastAsia="fr-FR" w:bidi="ar-SA"/>
              </w:rPr>
            </w:pPr>
            <w:r w:rsidRPr="00133ED6">
              <w:rPr>
                <w:rFonts w:asciiTheme="majorBidi" w:eastAsia="Batang" w:hAnsiTheme="majorBidi" w:cstheme="majorBidi"/>
                <w:sz w:val="24"/>
                <w:szCs w:val="18"/>
                <w:lang w:eastAsia="fr-FR" w:bidi="ar-SA"/>
              </w:rPr>
              <w:t xml:space="preserve">Email : </w:t>
            </w:r>
            <w:hyperlink r:id="rId9" w:history="1">
              <w:r w:rsidRPr="008870B4">
                <w:rPr>
                  <w:rStyle w:val="Lienhypertexte"/>
                  <w:rFonts w:asciiTheme="majorBidi" w:eastAsia="Batang" w:hAnsiTheme="majorBidi" w:cstheme="majorBidi"/>
                  <w:sz w:val="24"/>
                  <w:szCs w:val="18"/>
                  <w:lang w:eastAsia="fr-FR" w:bidi="ar-SA"/>
                </w:rPr>
                <w:t>assako.essiben@yahoo.com</w:t>
              </w:r>
            </w:hyperlink>
            <w:r>
              <w:rPr>
                <w:rFonts w:asciiTheme="majorBidi" w:eastAsia="Batang" w:hAnsiTheme="majorBidi" w:cstheme="majorBidi"/>
                <w:sz w:val="24"/>
                <w:szCs w:val="18"/>
                <w:lang w:eastAsia="fr-FR" w:bidi="ar-SA"/>
              </w:rPr>
              <w:t xml:space="preserve"> </w:t>
            </w:r>
          </w:p>
          <w:p w:rsidR="001C65AF" w:rsidRDefault="001C65AF" w:rsidP="00A614C1">
            <w:pPr>
              <w:spacing w:after="0" w:line="240" w:lineRule="auto"/>
              <w:jc w:val="center"/>
              <w:rPr>
                <w:rFonts w:asciiTheme="majorBidi" w:eastAsia="Batang" w:hAnsiTheme="majorBidi" w:cstheme="majorBidi"/>
                <w:b/>
                <w:sz w:val="24"/>
                <w:szCs w:val="24"/>
              </w:rPr>
            </w:pPr>
          </w:p>
          <w:p w:rsidR="00A614C1" w:rsidRPr="003059B9" w:rsidRDefault="00A614C1" w:rsidP="00A614C1">
            <w:pPr>
              <w:spacing w:after="0" w:line="240" w:lineRule="auto"/>
              <w:jc w:val="center"/>
              <w:rPr>
                <w:rFonts w:asciiTheme="majorBidi" w:eastAsia="Batang" w:hAnsiTheme="majorBidi" w:cstheme="majorBidi"/>
                <w:sz w:val="24"/>
                <w:szCs w:val="24"/>
              </w:rPr>
            </w:pPr>
          </w:p>
          <w:p w:rsidR="002D5C04" w:rsidRDefault="002D5C04" w:rsidP="00A614C1">
            <w:pPr>
              <w:spacing w:after="0" w:line="240" w:lineRule="auto"/>
              <w:jc w:val="center"/>
              <w:rPr>
                <w:rFonts w:asciiTheme="majorBidi" w:eastAsia="Batang" w:hAnsiTheme="majorBidi" w:cstheme="majorBidi"/>
                <w:b/>
                <w:sz w:val="24"/>
                <w:szCs w:val="24"/>
              </w:rPr>
            </w:pPr>
          </w:p>
          <w:p w:rsidR="00A614C1" w:rsidRPr="002D5C04" w:rsidRDefault="00D03EBF" w:rsidP="00A614C1">
            <w:pPr>
              <w:spacing w:after="0" w:line="240" w:lineRule="auto"/>
              <w:jc w:val="center"/>
              <w:rPr>
                <w:rFonts w:asciiTheme="majorBidi" w:eastAsia="Batang" w:hAnsiTheme="majorBidi" w:cstheme="majorBidi"/>
                <w:sz w:val="24"/>
                <w:szCs w:val="24"/>
              </w:rPr>
            </w:pPr>
            <w:r>
              <w:rPr>
                <w:rFonts w:asciiTheme="majorBidi" w:eastAsia="Batang" w:hAnsiTheme="majorBidi" w:cstheme="majorBidi"/>
                <w:sz w:val="24"/>
                <w:szCs w:val="24"/>
              </w:rPr>
              <w:t>Mai</w:t>
            </w:r>
            <w:r w:rsidR="00A614C1" w:rsidRPr="002D5C04">
              <w:rPr>
                <w:rFonts w:asciiTheme="majorBidi" w:eastAsia="Batang" w:hAnsiTheme="majorBidi" w:cstheme="majorBidi"/>
                <w:sz w:val="24"/>
                <w:szCs w:val="24"/>
              </w:rPr>
              <w:t xml:space="preserve"> 2019</w:t>
            </w:r>
          </w:p>
          <w:p w:rsidR="00A614C1" w:rsidRPr="005C231F" w:rsidRDefault="00A614C1" w:rsidP="00A614C1">
            <w:pPr>
              <w:spacing w:after="0" w:line="240" w:lineRule="auto"/>
              <w:jc w:val="center"/>
              <w:rPr>
                <w:rFonts w:asciiTheme="majorBidi" w:eastAsia="Batang" w:hAnsiTheme="majorBidi" w:cstheme="majorBidi"/>
                <w:bCs/>
                <w:sz w:val="20"/>
                <w:szCs w:val="20"/>
                <w:lang w:eastAsia="fr-FR" w:bidi="ar-SA"/>
              </w:rPr>
            </w:pPr>
          </w:p>
        </w:tc>
      </w:tr>
    </w:tbl>
    <w:p w:rsidR="001C65AF" w:rsidRDefault="001C65AF" w:rsidP="001C65AF"/>
    <w:p w:rsidR="001C65AF" w:rsidRDefault="001C65AF" w:rsidP="001C65AF">
      <w:pPr>
        <w:spacing w:line="360" w:lineRule="auto"/>
        <w:rPr>
          <w:rFonts w:asciiTheme="majorBidi" w:hAnsiTheme="majorBidi" w:cstheme="majorBidi"/>
          <w:b/>
          <w:bCs/>
          <w:sz w:val="24"/>
          <w:szCs w:val="24"/>
        </w:rPr>
      </w:pPr>
    </w:p>
    <w:p w:rsidR="00BF7BCD" w:rsidRDefault="00BF7BCD" w:rsidP="001C65AF">
      <w:pPr>
        <w:spacing w:line="360" w:lineRule="auto"/>
        <w:rPr>
          <w:rFonts w:asciiTheme="majorBidi" w:hAnsiTheme="majorBidi" w:cstheme="majorBidi"/>
          <w:b/>
          <w:bCs/>
          <w:sz w:val="24"/>
          <w:szCs w:val="24"/>
        </w:rPr>
      </w:pPr>
    </w:p>
    <w:p w:rsidR="00BF7BCD" w:rsidRDefault="00BF7BCD" w:rsidP="001C65AF">
      <w:pPr>
        <w:spacing w:line="360" w:lineRule="auto"/>
        <w:rPr>
          <w:rFonts w:asciiTheme="majorBidi" w:hAnsiTheme="majorBidi" w:cstheme="majorBidi"/>
          <w:b/>
          <w:bCs/>
          <w:sz w:val="24"/>
          <w:szCs w:val="24"/>
        </w:rPr>
      </w:pPr>
    </w:p>
    <w:p w:rsidR="00BF7BCD" w:rsidRDefault="00BF7BCD" w:rsidP="001C65AF">
      <w:pPr>
        <w:spacing w:line="360" w:lineRule="auto"/>
        <w:rPr>
          <w:rFonts w:asciiTheme="majorBidi" w:hAnsiTheme="majorBidi" w:cstheme="majorBidi"/>
          <w:b/>
          <w:bCs/>
          <w:sz w:val="24"/>
          <w:szCs w:val="24"/>
        </w:rPr>
      </w:pPr>
    </w:p>
    <w:p w:rsidR="00BF7BCD" w:rsidRDefault="00BF7BCD" w:rsidP="001C65AF">
      <w:pPr>
        <w:spacing w:line="360" w:lineRule="auto"/>
        <w:rPr>
          <w:rFonts w:asciiTheme="majorBidi" w:hAnsiTheme="majorBidi" w:cstheme="majorBidi"/>
          <w:b/>
          <w:bCs/>
          <w:sz w:val="24"/>
          <w:szCs w:val="24"/>
        </w:rPr>
      </w:pPr>
    </w:p>
    <w:p w:rsidR="00A52EAE" w:rsidRDefault="00A52EAE" w:rsidP="00A52EAE">
      <w:pPr>
        <w:spacing w:line="360" w:lineRule="auto"/>
        <w:rPr>
          <w:rFonts w:asciiTheme="majorBidi" w:hAnsiTheme="majorBidi" w:cstheme="majorBidi"/>
          <w:b/>
          <w:bCs/>
          <w:sz w:val="24"/>
          <w:szCs w:val="24"/>
        </w:rPr>
      </w:pPr>
      <w:r w:rsidRPr="007A6825">
        <w:rPr>
          <w:rFonts w:asciiTheme="majorBidi" w:hAnsiTheme="majorBidi" w:cstheme="majorBidi"/>
          <w:b/>
          <w:bCs/>
          <w:sz w:val="24"/>
          <w:szCs w:val="24"/>
        </w:rPr>
        <w:lastRenderedPageBreak/>
        <w:t>1. Contexte et problématique</w:t>
      </w:r>
    </w:p>
    <w:p w:rsidR="002563EC" w:rsidRDefault="00A52EAE" w:rsidP="00A52EAE">
      <w:pPr>
        <w:spacing w:line="360" w:lineRule="auto"/>
        <w:jc w:val="both"/>
        <w:rPr>
          <w:rFonts w:asciiTheme="majorBidi" w:hAnsiTheme="majorBidi" w:cstheme="majorBidi"/>
          <w:sz w:val="24"/>
          <w:szCs w:val="24"/>
        </w:rPr>
      </w:pPr>
      <w:r w:rsidRPr="009D379A">
        <w:rPr>
          <w:rFonts w:asciiTheme="majorBidi" w:hAnsiTheme="majorBidi" w:cstheme="majorBidi"/>
          <w:sz w:val="24"/>
          <w:szCs w:val="24"/>
        </w:rPr>
        <w:t>La politique budgétaire représente un levier important de la politique économique de l’Etat</w:t>
      </w:r>
      <w:r w:rsidR="00540E40">
        <w:rPr>
          <w:rFonts w:asciiTheme="majorBidi" w:hAnsiTheme="majorBidi" w:cstheme="majorBidi"/>
          <w:sz w:val="24"/>
          <w:szCs w:val="24"/>
        </w:rPr>
        <w:t>. En effet, elle</w:t>
      </w:r>
      <w:r w:rsidR="00EF1B1A">
        <w:rPr>
          <w:rFonts w:asciiTheme="majorBidi" w:hAnsiTheme="majorBidi" w:cstheme="majorBidi"/>
          <w:sz w:val="24"/>
          <w:szCs w:val="24"/>
        </w:rPr>
        <w:t xml:space="preserve"> </w:t>
      </w:r>
      <w:r w:rsidRPr="009D379A">
        <w:rPr>
          <w:rFonts w:asciiTheme="majorBidi" w:hAnsiTheme="majorBidi" w:cstheme="majorBidi"/>
          <w:sz w:val="24"/>
          <w:szCs w:val="24"/>
        </w:rPr>
        <w:t xml:space="preserve">permet à l’Etat de remplir les principales fonctions définies par </w:t>
      </w:r>
      <w:proofErr w:type="spellStart"/>
      <w:r w:rsidRPr="009D379A">
        <w:rPr>
          <w:rFonts w:asciiTheme="majorBidi" w:hAnsiTheme="majorBidi" w:cstheme="majorBidi"/>
          <w:sz w:val="24"/>
          <w:szCs w:val="24"/>
        </w:rPr>
        <w:t>Musgrave</w:t>
      </w:r>
      <w:proofErr w:type="spellEnd"/>
      <w:r w:rsidRPr="009D379A">
        <w:rPr>
          <w:rFonts w:asciiTheme="majorBidi" w:hAnsiTheme="majorBidi" w:cstheme="majorBidi"/>
          <w:sz w:val="24"/>
          <w:szCs w:val="24"/>
        </w:rPr>
        <w:t xml:space="preserve"> : allocation efficiente des ressources, stabilisation et redistribution au profit des populations (</w:t>
      </w:r>
      <w:proofErr w:type="spellStart"/>
      <w:r w:rsidRPr="009D379A">
        <w:rPr>
          <w:rFonts w:asciiTheme="majorBidi" w:hAnsiTheme="majorBidi" w:cstheme="majorBidi"/>
          <w:sz w:val="24"/>
          <w:szCs w:val="24"/>
        </w:rPr>
        <w:t>Tamba</w:t>
      </w:r>
      <w:proofErr w:type="spellEnd"/>
      <w:r w:rsidRPr="009D379A">
        <w:rPr>
          <w:rFonts w:asciiTheme="majorBidi" w:hAnsiTheme="majorBidi" w:cstheme="majorBidi"/>
          <w:sz w:val="24"/>
          <w:szCs w:val="24"/>
        </w:rPr>
        <w:t>, 2017).</w:t>
      </w:r>
      <w:r w:rsidR="00DA72D9">
        <w:rPr>
          <w:rFonts w:asciiTheme="majorBidi" w:hAnsiTheme="majorBidi" w:cstheme="majorBidi"/>
          <w:sz w:val="24"/>
          <w:szCs w:val="24"/>
        </w:rPr>
        <w:t xml:space="preserve"> </w:t>
      </w:r>
      <w:r w:rsidRPr="009D379A">
        <w:rPr>
          <w:rFonts w:asciiTheme="majorBidi" w:hAnsiTheme="majorBidi" w:cstheme="majorBidi"/>
          <w:sz w:val="24"/>
          <w:szCs w:val="24"/>
        </w:rPr>
        <w:t xml:space="preserve">D’autre part, </w:t>
      </w:r>
      <w:r w:rsidR="00422AA4">
        <w:rPr>
          <w:rFonts w:asciiTheme="majorBidi" w:hAnsiTheme="majorBidi" w:cstheme="majorBidi"/>
          <w:sz w:val="24"/>
          <w:szCs w:val="24"/>
        </w:rPr>
        <w:t>l</w:t>
      </w:r>
      <w:r w:rsidRPr="009D379A">
        <w:rPr>
          <w:rFonts w:asciiTheme="majorBidi" w:hAnsiTheme="majorBidi" w:cstheme="majorBidi"/>
          <w:sz w:val="24"/>
          <w:szCs w:val="24"/>
        </w:rPr>
        <w:t>a politique de décentralisation</w:t>
      </w:r>
      <w:r w:rsidR="00422AA4">
        <w:rPr>
          <w:rFonts w:asciiTheme="majorBidi" w:hAnsiTheme="majorBidi" w:cstheme="majorBidi"/>
          <w:sz w:val="24"/>
          <w:szCs w:val="24"/>
        </w:rPr>
        <w:t>,</w:t>
      </w:r>
      <w:r w:rsidRPr="009D379A">
        <w:rPr>
          <w:rFonts w:asciiTheme="majorBidi" w:hAnsiTheme="majorBidi" w:cstheme="majorBidi"/>
          <w:sz w:val="24"/>
          <w:szCs w:val="24"/>
        </w:rPr>
        <w:t xml:space="preserve"> consacrée dans la constitution de 1996</w:t>
      </w:r>
      <w:r>
        <w:rPr>
          <w:rStyle w:val="Appelnotedebasdep"/>
          <w:rFonts w:asciiTheme="majorBidi" w:hAnsiTheme="majorBidi" w:cstheme="majorBidi"/>
          <w:sz w:val="24"/>
          <w:szCs w:val="24"/>
        </w:rPr>
        <w:footnoteReference w:id="1"/>
      </w:r>
      <w:r w:rsidR="00422AA4">
        <w:rPr>
          <w:rFonts w:asciiTheme="majorBidi" w:hAnsiTheme="majorBidi" w:cstheme="majorBidi"/>
          <w:sz w:val="24"/>
          <w:szCs w:val="24"/>
        </w:rPr>
        <w:t>, a</w:t>
      </w:r>
      <w:r w:rsidR="00CD0AC8">
        <w:rPr>
          <w:rFonts w:asciiTheme="majorBidi" w:hAnsiTheme="majorBidi" w:cstheme="majorBidi"/>
          <w:sz w:val="24"/>
          <w:szCs w:val="24"/>
        </w:rPr>
        <w:t xml:space="preserve"> eu</w:t>
      </w:r>
      <w:r w:rsidR="00422AA4">
        <w:rPr>
          <w:rFonts w:asciiTheme="majorBidi" w:hAnsiTheme="majorBidi" w:cstheme="majorBidi"/>
          <w:sz w:val="24"/>
          <w:szCs w:val="24"/>
        </w:rPr>
        <w:t xml:space="preserve"> des implications bu</w:t>
      </w:r>
      <w:r w:rsidR="00BA1667">
        <w:rPr>
          <w:rFonts w:asciiTheme="majorBidi" w:hAnsiTheme="majorBidi" w:cstheme="majorBidi"/>
          <w:sz w:val="24"/>
          <w:szCs w:val="24"/>
        </w:rPr>
        <w:t>dgétaires importantes</w:t>
      </w:r>
      <w:r w:rsidR="00422AA4">
        <w:rPr>
          <w:rFonts w:asciiTheme="majorBidi" w:hAnsiTheme="majorBidi" w:cstheme="majorBidi"/>
          <w:sz w:val="24"/>
          <w:szCs w:val="24"/>
        </w:rPr>
        <w:t xml:space="preserve"> à travers le</w:t>
      </w:r>
      <w:r w:rsidRPr="009D379A">
        <w:rPr>
          <w:rFonts w:asciiTheme="majorBidi" w:hAnsiTheme="majorBidi" w:cstheme="majorBidi"/>
          <w:sz w:val="24"/>
          <w:szCs w:val="24"/>
        </w:rPr>
        <w:t xml:space="preserve"> transfert de</w:t>
      </w:r>
      <w:r w:rsidR="006A6917">
        <w:rPr>
          <w:rFonts w:asciiTheme="majorBidi" w:hAnsiTheme="majorBidi" w:cstheme="majorBidi"/>
          <w:sz w:val="24"/>
          <w:szCs w:val="24"/>
        </w:rPr>
        <w:t>s</w:t>
      </w:r>
      <w:r w:rsidRPr="009D379A">
        <w:rPr>
          <w:rFonts w:asciiTheme="majorBidi" w:hAnsiTheme="majorBidi" w:cstheme="majorBidi"/>
          <w:sz w:val="24"/>
          <w:szCs w:val="24"/>
        </w:rPr>
        <w:t xml:space="preserve"> ressources aux communes.</w:t>
      </w:r>
      <w:r w:rsidR="002563EC">
        <w:rPr>
          <w:rFonts w:asciiTheme="majorBidi" w:hAnsiTheme="majorBidi" w:cstheme="majorBidi"/>
          <w:sz w:val="24"/>
          <w:szCs w:val="24"/>
        </w:rPr>
        <w:t xml:space="preserve"> </w:t>
      </w:r>
    </w:p>
    <w:p w:rsidR="00D57CE3" w:rsidRDefault="009664BB" w:rsidP="00A52EAE">
      <w:pPr>
        <w:spacing w:line="360" w:lineRule="auto"/>
        <w:jc w:val="both"/>
        <w:rPr>
          <w:rFonts w:asciiTheme="majorBidi" w:hAnsiTheme="majorBidi" w:cstheme="majorBidi"/>
          <w:sz w:val="24"/>
          <w:szCs w:val="24"/>
        </w:rPr>
      </w:pPr>
      <w:r>
        <w:rPr>
          <w:rFonts w:asciiTheme="majorBidi" w:hAnsiTheme="majorBidi" w:cstheme="majorBidi"/>
          <w:sz w:val="24"/>
          <w:szCs w:val="24"/>
        </w:rPr>
        <w:t>Toutefois,</w:t>
      </w:r>
      <w:r w:rsidR="002563EC">
        <w:rPr>
          <w:rFonts w:asciiTheme="majorBidi" w:hAnsiTheme="majorBidi" w:cstheme="majorBidi"/>
          <w:sz w:val="24"/>
          <w:szCs w:val="24"/>
        </w:rPr>
        <w:t xml:space="preserve"> l’on note </w:t>
      </w:r>
      <w:r>
        <w:rPr>
          <w:rFonts w:asciiTheme="majorBidi" w:hAnsiTheme="majorBidi" w:cstheme="majorBidi"/>
          <w:sz w:val="24"/>
          <w:szCs w:val="24"/>
        </w:rPr>
        <w:t>que</w:t>
      </w:r>
      <w:r w:rsidR="00C10276">
        <w:rPr>
          <w:rFonts w:asciiTheme="majorBidi" w:hAnsiTheme="majorBidi" w:cstheme="majorBidi"/>
          <w:sz w:val="24"/>
          <w:szCs w:val="24"/>
        </w:rPr>
        <w:t xml:space="preserve"> l</w:t>
      </w:r>
      <w:r w:rsidR="00A52EAE">
        <w:rPr>
          <w:rFonts w:asciiTheme="majorBidi" w:hAnsiTheme="majorBidi" w:cstheme="majorBidi"/>
          <w:sz w:val="24"/>
          <w:szCs w:val="24"/>
        </w:rPr>
        <w:t>e</w:t>
      </w:r>
      <w:r w:rsidR="00A52EAE" w:rsidRPr="009D379A">
        <w:rPr>
          <w:rFonts w:asciiTheme="majorBidi" w:hAnsiTheme="majorBidi" w:cstheme="majorBidi"/>
          <w:sz w:val="24"/>
          <w:szCs w:val="24"/>
        </w:rPr>
        <w:t xml:space="preserve"> Document de Stratégie pour la Croissance et l’Emploi (DSCE)</w:t>
      </w:r>
      <w:r>
        <w:rPr>
          <w:rFonts w:asciiTheme="majorBidi" w:hAnsiTheme="majorBidi" w:cstheme="majorBidi"/>
          <w:sz w:val="24"/>
          <w:szCs w:val="24"/>
        </w:rPr>
        <w:t xml:space="preserve"> n’a pas pris en compte</w:t>
      </w:r>
      <w:r w:rsidR="00A52EAE">
        <w:rPr>
          <w:rFonts w:asciiTheme="majorBidi" w:hAnsiTheme="majorBidi" w:cstheme="majorBidi"/>
          <w:sz w:val="24"/>
          <w:szCs w:val="24"/>
        </w:rPr>
        <w:t xml:space="preserve"> la q</w:t>
      </w:r>
      <w:r w:rsidR="005C1B62">
        <w:rPr>
          <w:rFonts w:asciiTheme="majorBidi" w:hAnsiTheme="majorBidi" w:cstheme="majorBidi"/>
          <w:sz w:val="24"/>
          <w:szCs w:val="24"/>
        </w:rPr>
        <w:t>uestion des inégalités de développement entre les localités du pays.</w:t>
      </w:r>
      <w:r w:rsidR="00A52EAE">
        <w:rPr>
          <w:rFonts w:asciiTheme="majorBidi" w:hAnsiTheme="majorBidi" w:cstheme="majorBidi"/>
          <w:sz w:val="24"/>
          <w:szCs w:val="24"/>
        </w:rPr>
        <w:t xml:space="preserve"> A titre d’illustration, la répartition des besoins dans le secteur de l’eau potable fait ressortir de fortes disparités régionales. Le graphique ci-dessous montre la répartition du taux d’accès à l’eau potable</w:t>
      </w:r>
      <w:r w:rsidR="003F32CA">
        <w:rPr>
          <w:rStyle w:val="Appelnotedebasdep"/>
          <w:rFonts w:asciiTheme="majorBidi" w:hAnsiTheme="majorBidi" w:cstheme="majorBidi"/>
          <w:sz w:val="24"/>
          <w:szCs w:val="24"/>
        </w:rPr>
        <w:footnoteReference w:id="2"/>
      </w:r>
      <w:r w:rsidR="00A52EAE">
        <w:rPr>
          <w:rFonts w:asciiTheme="majorBidi" w:hAnsiTheme="majorBidi" w:cstheme="majorBidi"/>
          <w:sz w:val="24"/>
          <w:szCs w:val="24"/>
        </w:rPr>
        <w:t xml:space="preserve"> selon les régions</w:t>
      </w:r>
      <w:r w:rsidR="00C02990">
        <w:rPr>
          <w:rFonts w:asciiTheme="majorBidi" w:hAnsiTheme="majorBidi" w:cstheme="majorBidi"/>
          <w:sz w:val="24"/>
          <w:szCs w:val="24"/>
        </w:rPr>
        <w:t xml:space="preserve"> en 2016</w:t>
      </w:r>
      <w:r w:rsidR="001136A9">
        <w:rPr>
          <w:rFonts w:asciiTheme="majorBidi" w:hAnsiTheme="majorBidi" w:cstheme="majorBidi"/>
          <w:sz w:val="24"/>
          <w:szCs w:val="24"/>
        </w:rPr>
        <w:t>,</w:t>
      </w:r>
      <w:r w:rsidR="00CB3C75">
        <w:rPr>
          <w:rFonts w:asciiTheme="majorBidi" w:hAnsiTheme="majorBidi" w:cstheme="majorBidi"/>
          <w:sz w:val="24"/>
          <w:szCs w:val="24"/>
        </w:rPr>
        <w:t xml:space="preserve"> sur la base des données actualisées</w:t>
      </w:r>
      <w:r w:rsidR="00C02990">
        <w:rPr>
          <w:rFonts w:asciiTheme="majorBidi" w:hAnsiTheme="majorBidi" w:cstheme="majorBidi"/>
          <w:sz w:val="24"/>
          <w:szCs w:val="24"/>
        </w:rPr>
        <w:t xml:space="preserve"> des </w:t>
      </w:r>
      <w:r w:rsidR="002041B9">
        <w:rPr>
          <w:rFonts w:asciiTheme="majorBidi" w:hAnsiTheme="majorBidi" w:cstheme="majorBidi"/>
          <w:sz w:val="24"/>
          <w:szCs w:val="24"/>
        </w:rPr>
        <w:t>Enquête</w:t>
      </w:r>
      <w:r w:rsidR="00C02990">
        <w:rPr>
          <w:rFonts w:asciiTheme="majorBidi" w:hAnsiTheme="majorBidi" w:cstheme="majorBidi"/>
          <w:sz w:val="24"/>
          <w:szCs w:val="24"/>
        </w:rPr>
        <w:t>s Démographiques et de Santé en 2004 et en 2011</w:t>
      </w:r>
      <w:r w:rsidR="00C02990">
        <w:rPr>
          <w:rStyle w:val="Appelnotedebasdep"/>
          <w:rFonts w:asciiTheme="majorBidi" w:hAnsiTheme="majorBidi" w:cstheme="majorBidi"/>
          <w:sz w:val="24"/>
          <w:szCs w:val="24"/>
        </w:rPr>
        <w:footnoteReference w:id="3"/>
      </w:r>
      <w:r w:rsidR="00C02990">
        <w:rPr>
          <w:rFonts w:asciiTheme="majorBidi" w:hAnsiTheme="majorBidi" w:cstheme="majorBidi"/>
          <w:sz w:val="24"/>
          <w:szCs w:val="24"/>
        </w:rPr>
        <w:t>.</w:t>
      </w:r>
      <w:r w:rsidR="002041B9">
        <w:rPr>
          <w:rFonts w:asciiTheme="majorBidi" w:hAnsiTheme="majorBidi" w:cstheme="majorBidi"/>
          <w:sz w:val="24"/>
          <w:szCs w:val="24"/>
        </w:rPr>
        <w:t xml:space="preserve"> </w:t>
      </w:r>
      <w:r w:rsidR="00A52EAE">
        <w:rPr>
          <w:rFonts w:asciiTheme="majorBidi" w:hAnsiTheme="majorBidi" w:cstheme="majorBidi"/>
          <w:sz w:val="24"/>
          <w:szCs w:val="24"/>
        </w:rPr>
        <w:t>L’on n</w:t>
      </w:r>
      <w:r w:rsidR="007C4F16">
        <w:rPr>
          <w:rFonts w:asciiTheme="majorBidi" w:hAnsiTheme="majorBidi" w:cstheme="majorBidi"/>
          <w:sz w:val="24"/>
          <w:szCs w:val="24"/>
        </w:rPr>
        <w:t>ote que la région de l’Est a</w:t>
      </w:r>
      <w:r w:rsidR="00A52EAE">
        <w:rPr>
          <w:rFonts w:asciiTheme="majorBidi" w:hAnsiTheme="majorBidi" w:cstheme="majorBidi"/>
          <w:sz w:val="24"/>
          <w:szCs w:val="24"/>
        </w:rPr>
        <w:t xml:space="preserve"> l</w:t>
      </w:r>
      <w:r w:rsidR="003F32CA">
        <w:rPr>
          <w:rFonts w:asciiTheme="majorBidi" w:hAnsiTheme="majorBidi" w:cstheme="majorBidi"/>
          <w:sz w:val="24"/>
          <w:szCs w:val="24"/>
        </w:rPr>
        <w:t>e taux d’accès le plus faible (</w:t>
      </w:r>
      <w:r w:rsidR="00A52EAE">
        <w:rPr>
          <w:rFonts w:asciiTheme="majorBidi" w:hAnsiTheme="majorBidi" w:cstheme="majorBidi"/>
          <w:sz w:val="24"/>
          <w:szCs w:val="24"/>
        </w:rPr>
        <w:t>6</w:t>
      </w:r>
      <w:r w:rsidR="003F32CA">
        <w:rPr>
          <w:rFonts w:asciiTheme="majorBidi" w:hAnsiTheme="majorBidi" w:cstheme="majorBidi"/>
          <w:sz w:val="24"/>
          <w:szCs w:val="24"/>
        </w:rPr>
        <w:t>1</w:t>
      </w:r>
      <w:r w:rsidR="00A52EAE">
        <w:rPr>
          <w:rFonts w:asciiTheme="majorBidi" w:hAnsiTheme="majorBidi" w:cstheme="majorBidi"/>
          <w:sz w:val="24"/>
          <w:szCs w:val="24"/>
        </w:rPr>
        <w:t>,</w:t>
      </w:r>
      <w:r w:rsidR="003F32CA">
        <w:rPr>
          <w:rFonts w:asciiTheme="majorBidi" w:hAnsiTheme="majorBidi" w:cstheme="majorBidi"/>
          <w:sz w:val="24"/>
          <w:szCs w:val="24"/>
        </w:rPr>
        <w:t>3</w:t>
      </w:r>
      <w:r w:rsidR="00A52EAE">
        <w:rPr>
          <w:rFonts w:asciiTheme="majorBidi" w:hAnsiTheme="majorBidi" w:cstheme="majorBidi"/>
          <w:sz w:val="24"/>
          <w:szCs w:val="24"/>
        </w:rPr>
        <w:t>%) alors que les grands centres ur</w:t>
      </w:r>
      <w:r w:rsidR="007C4F16">
        <w:rPr>
          <w:rFonts w:asciiTheme="majorBidi" w:hAnsiTheme="majorBidi" w:cstheme="majorBidi"/>
          <w:sz w:val="24"/>
          <w:szCs w:val="24"/>
        </w:rPr>
        <w:t>bains (Douala, Yaoundé) affich</w:t>
      </w:r>
      <w:r w:rsidR="00A52EAE">
        <w:rPr>
          <w:rFonts w:asciiTheme="majorBidi" w:hAnsiTheme="majorBidi" w:cstheme="majorBidi"/>
          <w:sz w:val="24"/>
          <w:szCs w:val="24"/>
        </w:rPr>
        <w:t xml:space="preserve">ent des taux d’accès supérieurs à </w:t>
      </w:r>
      <w:r w:rsidR="003F32CA">
        <w:rPr>
          <w:rFonts w:asciiTheme="majorBidi" w:hAnsiTheme="majorBidi" w:cstheme="majorBidi"/>
          <w:sz w:val="24"/>
          <w:szCs w:val="24"/>
        </w:rPr>
        <w:t>9</w:t>
      </w:r>
      <w:r w:rsidR="00A52EAE">
        <w:rPr>
          <w:rFonts w:asciiTheme="majorBidi" w:hAnsiTheme="majorBidi" w:cstheme="majorBidi"/>
          <w:sz w:val="24"/>
          <w:szCs w:val="24"/>
        </w:rPr>
        <w:t xml:space="preserve">8%.  </w:t>
      </w:r>
    </w:p>
    <w:p w:rsidR="00A52EAE" w:rsidRPr="00F14212" w:rsidRDefault="00A52EAE" w:rsidP="00A52EAE">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Graphique 1 Répartition du taux d</w:t>
      </w:r>
      <w:r w:rsidRPr="00F14212">
        <w:rPr>
          <w:rFonts w:asciiTheme="majorBidi" w:hAnsiTheme="majorBidi" w:cstheme="majorBidi"/>
          <w:b/>
          <w:bCs/>
          <w:sz w:val="24"/>
          <w:szCs w:val="24"/>
        </w:rPr>
        <w:t>'accès à l'eau potable par région</w:t>
      </w:r>
      <w:r w:rsidR="00C02990">
        <w:rPr>
          <w:rFonts w:asciiTheme="majorBidi" w:hAnsiTheme="majorBidi" w:cstheme="majorBidi"/>
          <w:b/>
          <w:bCs/>
          <w:sz w:val="24"/>
          <w:szCs w:val="24"/>
        </w:rPr>
        <w:t xml:space="preserve"> au Cameroun</w:t>
      </w:r>
    </w:p>
    <w:p w:rsidR="00A52EAE" w:rsidRDefault="00C02990" w:rsidP="0007448C">
      <w:pPr>
        <w:spacing w:after="0" w:line="240" w:lineRule="auto"/>
        <w:jc w:val="center"/>
        <w:rPr>
          <w:rFonts w:asciiTheme="majorBidi" w:hAnsiTheme="majorBidi" w:cstheme="majorBidi"/>
          <w:sz w:val="24"/>
          <w:szCs w:val="24"/>
        </w:rPr>
      </w:pPr>
      <w:r>
        <w:rPr>
          <w:rFonts w:asciiTheme="majorBidi" w:hAnsiTheme="majorBidi" w:cstheme="majorBidi"/>
          <w:noProof/>
          <w:sz w:val="24"/>
          <w:szCs w:val="24"/>
          <w:lang w:val="en-US" w:bidi="ar-SA"/>
        </w:rPr>
        <w:drawing>
          <wp:inline distT="0" distB="0" distL="0" distR="0" wp14:anchorId="38E4EC10">
            <wp:extent cx="4644000" cy="243955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4000" cy="2439550"/>
                    </a:xfrm>
                    <a:prstGeom prst="rect">
                      <a:avLst/>
                    </a:prstGeom>
                    <a:noFill/>
                  </pic:spPr>
                </pic:pic>
              </a:graphicData>
            </a:graphic>
          </wp:inline>
        </w:drawing>
      </w:r>
    </w:p>
    <w:p w:rsidR="00A52EAE" w:rsidRPr="0007448C" w:rsidRDefault="00A52EAE" w:rsidP="00C02990">
      <w:pPr>
        <w:spacing w:line="360" w:lineRule="auto"/>
        <w:jc w:val="center"/>
        <w:rPr>
          <w:rFonts w:asciiTheme="majorBidi" w:hAnsiTheme="majorBidi" w:cstheme="majorBidi"/>
          <w:sz w:val="20"/>
          <w:szCs w:val="20"/>
        </w:rPr>
      </w:pPr>
      <w:r w:rsidRPr="0007448C">
        <w:rPr>
          <w:rFonts w:asciiTheme="majorBidi" w:hAnsiTheme="majorBidi" w:cstheme="majorBidi"/>
          <w:sz w:val="20"/>
          <w:szCs w:val="20"/>
        </w:rPr>
        <w:t xml:space="preserve">Source : </w:t>
      </w:r>
      <w:r w:rsidR="006A4A3B" w:rsidRPr="0007448C">
        <w:rPr>
          <w:rFonts w:asciiTheme="majorBidi" w:hAnsiTheme="majorBidi" w:cstheme="majorBidi"/>
          <w:sz w:val="20"/>
          <w:szCs w:val="20"/>
        </w:rPr>
        <w:t xml:space="preserve">Nos calculs, sur la base des données </w:t>
      </w:r>
      <w:r w:rsidR="00C02990" w:rsidRPr="0007448C">
        <w:rPr>
          <w:rFonts w:asciiTheme="majorBidi" w:hAnsiTheme="majorBidi" w:cstheme="majorBidi"/>
          <w:sz w:val="20"/>
          <w:szCs w:val="20"/>
        </w:rPr>
        <w:t xml:space="preserve">EDS 2004 et </w:t>
      </w:r>
      <w:r w:rsidRPr="0007448C">
        <w:rPr>
          <w:rFonts w:asciiTheme="majorBidi" w:hAnsiTheme="majorBidi" w:cstheme="majorBidi"/>
          <w:sz w:val="20"/>
          <w:szCs w:val="20"/>
        </w:rPr>
        <w:t>E</w:t>
      </w:r>
      <w:r w:rsidR="006A4A3B" w:rsidRPr="0007448C">
        <w:rPr>
          <w:rFonts w:asciiTheme="majorBidi" w:hAnsiTheme="majorBidi" w:cstheme="majorBidi"/>
          <w:sz w:val="20"/>
          <w:szCs w:val="20"/>
        </w:rPr>
        <w:t>DS</w:t>
      </w:r>
      <w:r w:rsidR="00D710A2" w:rsidRPr="0007448C">
        <w:rPr>
          <w:rFonts w:asciiTheme="majorBidi" w:hAnsiTheme="majorBidi" w:cstheme="majorBidi"/>
          <w:sz w:val="20"/>
          <w:szCs w:val="20"/>
        </w:rPr>
        <w:t xml:space="preserve"> 20</w:t>
      </w:r>
      <w:r w:rsidR="006A4A3B" w:rsidRPr="0007448C">
        <w:rPr>
          <w:rFonts w:asciiTheme="majorBidi" w:hAnsiTheme="majorBidi" w:cstheme="majorBidi"/>
          <w:sz w:val="20"/>
          <w:szCs w:val="20"/>
        </w:rPr>
        <w:t>11</w:t>
      </w:r>
    </w:p>
    <w:p w:rsidR="00A52EAE" w:rsidRDefault="00A52EAE" w:rsidP="00A52EAE">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Dans le souci de corriger les déséquilibres entre les collectivités, la politique de décentralisation financière devrait prévoir un système de péréquation des dépenses permettant d’allouer les dotations budgétaires aux communes en fonction de leurs besoins</w:t>
      </w:r>
      <w:r w:rsidR="00B16BB9">
        <w:rPr>
          <w:rFonts w:asciiTheme="majorBidi" w:hAnsiTheme="majorBidi" w:cstheme="majorBidi"/>
          <w:sz w:val="24"/>
          <w:szCs w:val="24"/>
        </w:rPr>
        <w:t>. Ainsi</w:t>
      </w:r>
      <w:r>
        <w:rPr>
          <w:rFonts w:asciiTheme="majorBidi" w:hAnsiTheme="majorBidi" w:cstheme="majorBidi"/>
          <w:sz w:val="24"/>
          <w:szCs w:val="24"/>
        </w:rPr>
        <w:t xml:space="preserve">, </w:t>
      </w:r>
      <w:r w:rsidRPr="00F838EF">
        <w:rPr>
          <w:rFonts w:asciiTheme="majorBidi" w:hAnsiTheme="majorBidi" w:cstheme="majorBidi"/>
          <w:sz w:val="24"/>
          <w:szCs w:val="24"/>
        </w:rPr>
        <w:t>la Charte européenne de l’autonomie</w:t>
      </w:r>
      <w:r>
        <w:rPr>
          <w:rFonts w:asciiTheme="majorBidi" w:hAnsiTheme="majorBidi" w:cstheme="majorBidi"/>
          <w:sz w:val="24"/>
          <w:szCs w:val="24"/>
        </w:rPr>
        <w:t xml:space="preserve"> locale présente </w:t>
      </w:r>
      <w:r w:rsidRPr="00F838EF">
        <w:rPr>
          <w:rFonts w:asciiTheme="majorBidi" w:hAnsiTheme="majorBidi" w:cstheme="majorBidi"/>
          <w:sz w:val="24"/>
          <w:szCs w:val="24"/>
        </w:rPr>
        <w:t>la péréquation financière com</w:t>
      </w:r>
      <w:r>
        <w:rPr>
          <w:rFonts w:asciiTheme="majorBidi" w:hAnsiTheme="majorBidi" w:cstheme="majorBidi"/>
          <w:sz w:val="24"/>
          <w:szCs w:val="24"/>
        </w:rPr>
        <w:t>me un mécanisme qui vise la répartition équitable des ressources entre les</w:t>
      </w:r>
      <w:r w:rsidRPr="00F838EF">
        <w:rPr>
          <w:rFonts w:asciiTheme="majorBidi" w:hAnsiTheme="majorBidi" w:cstheme="majorBidi"/>
          <w:sz w:val="24"/>
          <w:szCs w:val="24"/>
        </w:rPr>
        <w:t xml:space="preserve"> collectivités</w:t>
      </w:r>
      <w:r>
        <w:rPr>
          <w:rFonts w:asciiTheme="majorBidi" w:hAnsiTheme="majorBidi" w:cstheme="majorBidi"/>
          <w:sz w:val="24"/>
          <w:szCs w:val="24"/>
        </w:rPr>
        <w:t xml:space="preserve"> les plus riches et les collectivités les plus pauvres.</w:t>
      </w:r>
    </w:p>
    <w:p w:rsidR="00A52EAE" w:rsidRDefault="007E734D" w:rsidP="00A52EAE">
      <w:pPr>
        <w:spacing w:line="360" w:lineRule="auto"/>
        <w:jc w:val="both"/>
        <w:rPr>
          <w:rFonts w:asciiTheme="majorBidi" w:hAnsiTheme="majorBidi" w:cstheme="majorBidi"/>
          <w:sz w:val="24"/>
          <w:szCs w:val="24"/>
        </w:rPr>
      </w:pPr>
      <w:r>
        <w:rPr>
          <w:rFonts w:asciiTheme="majorBidi" w:hAnsiTheme="majorBidi" w:cstheme="majorBidi"/>
          <w:sz w:val="24"/>
          <w:szCs w:val="24"/>
        </w:rPr>
        <w:t>A cet égard</w:t>
      </w:r>
      <w:r w:rsidR="00A52EAE">
        <w:rPr>
          <w:rFonts w:asciiTheme="majorBidi" w:hAnsiTheme="majorBidi" w:cstheme="majorBidi"/>
          <w:sz w:val="24"/>
          <w:szCs w:val="24"/>
        </w:rPr>
        <w:t>, la péréquation des dotations budgétaires a généralement pour but de combler le déséquilibre vertical entre les dépenses entrainées par les compétences transférées aux collectivités et les ressources dont elles disposent. Les critères retenus tiennent compte des facteurs démographiques (effectif de la population) ainsi que du niveau des revenus, mesuré par les écarts du PIB par habitant entre les régions. (</w:t>
      </w:r>
      <w:proofErr w:type="spellStart"/>
      <w:r w:rsidR="00A52EAE">
        <w:rPr>
          <w:rFonts w:asciiTheme="majorBidi" w:hAnsiTheme="majorBidi" w:cstheme="majorBidi"/>
          <w:sz w:val="24"/>
          <w:szCs w:val="24"/>
        </w:rPr>
        <w:t>Bird</w:t>
      </w:r>
      <w:proofErr w:type="spellEnd"/>
      <w:r w:rsidR="00A52EAE">
        <w:rPr>
          <w:rFonts w:asciiTheme="majorBidi" w:hAnsiTheme="majorBidi" w:cstheme="majorBidi"/>
          <w:sz w:val="24"/>
          <w:szCs w:val="24"/>
        </w:rPr>
        <w:t xml:space="preserve"> et Vaillancourt, 1998).    </w:t>
      </w:r>
    </w:p>
    <w:p w:rsidR="00A52EAE" w:rsidRDefault="00A52EAE" w:rsidP="00A52EA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L’on peut relever </w:t>
      </w:r>
      <w:r w:rsidR="00FB14D5">
        <w:rPr>
          <w:rFonts w:asciiTheme="majorBidi" w:hAnsiTheme="majorBidi" w:cstheme="majorBidi"/>
          <w:sz w:val="24"/>
          <w:szCs w:val="24"/>
        </w:rPr>
        <w:t>que</w:t>
      </w:r>
      <w:r>
        <w:rPr>
          <w:rFonts w:asciiTheme="majorBidi" w:hAnsiTheme="majorBidi" w:cstheme="majorBidi"/>
          <w:sz w:val="24"/>
          <w:szCs w:val="24"/>
        </w:rPr>
        <w:t xml:space="preserve"> la répartition des dotations budgétaires aux communes</w:t>
      </w:r>
      <w:r w:rsidR="009F7061">
        <w:rPr>
          <w:rFonts w:asciiTheme="majorBidi" w:hAnsiTheme="majorBidi" w:cstheme="majorBidi"/>
          <w:sz w:val="24"/>
          <w:szCs w:val="24"/>
        </w:rPr>
        <w:t xml:space="preserve"> camerounaises</w:t>
      </w:r>
      <w:r>
        <w:rPr>
          <w:rFonts w:asciiTheme="majorBidi" w:hAnsiTheme="majorBidi" w:cstheme="majorBidi"/>
          <w:sz w:val="24"/>
          <w:szCs w:val="24"/>
        </w:rPr>
        <w:t xml:space="preserve"> n’obéit pas encore à des critères de péréquation clairs, objectifs et équitables.</w:t>
      </w:r>
    </w:p>
    <w:p w:rsidR="00A52EAE" w:rsidRDefault="00A52EAE" w:rsidP="00A52EA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En poursuivant avec l’exemple du secteur de l’eau potable, l’on note une </w:t>
      </w:r>
      <w:r w:rsidRPr="006E4240">
        <w:rPr>
          <w:rFonts w:asciiTheme="majorBidi" w:hAnsiTheme="majorBidi" w:cstheme="majorBidi"/>
          <w:sz w:val="24"/>
          <w:szCs w:val="24"/>
        </w:rPr>
        <w:t>allocation</w:t>
      </w:r>
      <w:r>
        <w:rPr>
          <w:rFonts w:asciiTheme="majorBidi" w:hAnsiTheme="majorBidi" w:cstheme="majorBidi"/>
          <w:sz w:val="24"/>
          <w:szCs w:val="24"/>
        </w:rPr>
        <w:t xml:space="preserve"> inéquitable</w:t>
      </w:r>
      <w:r w:rsidRPr="006E4240">
        <w:rPr>
          <w:rFonts w:asciiTheme="majorBidi" w:hAnsiTheme="majorBidi" w:cstheme="majorBidi"/>
          <w:sz w:val="24"/>
          <w:szCs w:val="24"/>
        </w:rPr>
        <w:t xml:space="preserve"> des </w:t>
      </w:r>
      <w:r>
        <w:rPr>
          <w:rFonts w:asciiTheme="majorBidi" w:hAnsiTheme="majorBidi" w:cstheme="majorBidi"/>
          <w:sz w:val="24"/>
          <w:szCs w:val="24"/>
        </w:rPr>
        <w:t>ressource</w:t>
      </w:r>
      <w:r w:rsidRPr="006E4240">
        <w:rPr>
          <w:rFonts w:asciiTheme="majorBidi" w:hAnsiTheme="majorBidi" w:cstheme="majorBidi"/>
          <w:sz w:val="24"/>
          <w:szCs w:val="24"/>
        </w:rPr>
        <w:t>s</w:t>
      </w:r>
      <w:r>
        <w:rPr>
          <w:rFonts w:asciiTheme="majorBidi" w:hAnsiTheme="majorBidi" w:cstheme="majorBidi"/>
          <w:sz w:val="24"/>
          <w:szCs w:val="24"/>
        </w:rPr>
        <w:t xml:space="preserve"> du</w:t>
      </w:r>
      <w:r w:rsidR="00A02B11">
        <w:rPr>
          <w:rFonts w:asciiTheme="majorBidi" w:hAnsiTheme="majorBidi" w:cstheme="majorBidi"/>
          <w:sz w:val="24"/>
          <w:szCs w:val="24"/>
        </w:rPr>
        <w:t xml:space="preserve"> Budget d’Investissement Public</w:t>
      </w:r>
      <w:r>
        <w:rPr>
          <w:rFonts w:asciiTheme="majorBidi" w:hAnsiTheme="majorBidi" w:cstheme="majorBidi"/>
          <w:sz w:val="24"/>
          <w:szCs w:val="24"/>
        </w:rPr>
        <w:t xml:space="preserve"> </w:t>
      </w:r>
      <w:r w:rsidR="00A02B11">
        <w:rPr>
          <w:rFonts w:asciiTheme="majorBidi" w:hAnsiTheme="majorBidi" w:cstheme="majorBidi"/>
          <w:sz w:val="24"/>
          <w:szCs w:val="24"/>
        </w:rPr>
        <w:t>(</w:t>
      </w:r>
      <w:r>
        <w:rPr>
          <w:rFonts w:asciiTheme="majorBidi" w:hAnsiTheme="majorBidi" w:cstheme="majorBidi"/>
          <w:sz w:val="24"/>
          <w:szCs w:val="24"/>
        </w:rPr>
        <w:t>BIP</w:t>
      </w:r>
      <w:r w:rsidR="00A02B11">
        <w:rPr>
          <w:rFonts w:asciiTheme="majorBidi" w:hAnsiTheme="majorBidi" w:cstheme="majorBidi"/>
          <w:sz w:val="24"/>
          <w:szCs w:val="24"/>
        </w:rPr>
        <w:t>)</w:t>
      </w:r>
      <w:r>
        <w:rPr>
          <w:rFonts w:asciiTheme="majorBidi" w:hAnsiTheme="majorBidi" w:cstheme="majorBidi"/>
          <w:sz w:val="24"/>
          <w:szCs w:val="24"/>
        </w:rPr>
        <w:t xml:space="preserve"> pour la réalisation d</w:t>
      </w:r>
      <w:r w:rsidRPr="006E4240">
        <w:rPr>
          <w:rFonts w:asciiTheme="majorBidi" w:hAnsiTheme="majorBidi" w:cstheme="majorBidi"/>
          <w:sz w:val="24"/>
          <w:szCs w:val="24"/>
        </w:rPr>
        <w:t>e</w:t>
      </w:r>
      <w:r>
        <w:rPr>
          <w:rFonts w:asciiTheme="majorBidi" w:hAnsiTheme="majorBidi" w:cstheme="majorBidi"/>
          <w:sz w:val="24"/>
          <w:szCs w:val="24"/>
        </w:rPr>
        <w:t>s</w:t>
      </w:r>
      <w:r w:rsidRPr="006E4240">
        <w:rPr>
          <w:rFonts w:asciiTheme="majorBidi" w:hAnsiTheme="majorBidi" w:cstheme="majorBidi"/>
          <w:sz w:val="24"/>
          <w:szCs w:val="24"/>
        </w:rPr>
        <w:t xml:space="preserve"> forages</w:t>
      </w:r>
      <w:r>
        <w:rPr>
          <w:rFonts w:asciiTheme="majorBidi" w:hAnsiTheme="majorBidi" w:cstheme="majorBidi"/>
          <w:sz w:val="24"/>
          <w:szCs w:val="24"/>
        </w:rPr>
        <w:t xml:space="preserve"> dans les 360 communes du pays</w:t>
      </w:r>
      <w:r w:rsidRPr="006E4240">
        <w:rPr>
          <w:rFonts w:asciiTheme="majorBidi" w:hAnsiTheme="majorBidi" w:cstheme="majorBidi"/>
          <w:sz w:val="24"/>
          <w:szCs w:val="24"/>
        </w:rPr>
        <w:t>.</w:t>
      </w:r>
      <w:r>
        <w:rPr>
          <w:rFonts w:asciiTheme="majorBidi" w:hAnsiTheme="majorBidi" w:cstheme="majorBidi"/>
          <w:sz w:val="24"/>
          <w:szCs w:val="24"/>
        </w:rPr>
        <w:t xml:space="preserve"> Selon les données</w:t>
      </w:r>
      <w:r w:rsidRPr="006E4240">
        <w:rPr>
          <w:rFonts w:asciiTheme="majorBidi" w:hAnsiTheme="majorBidi" w:cstheme="majorBidi"/>
          <w:sz w:val="24"/>
          <w:szCs w:val="24"/>
        </w:rPr>
        <w:t xml:space="preserve"> sur l’exécution du BIP</w:t>
      </w:r>
      <w:r w:rsidR="00AF487B">
        <w:rPr>
          <w:rStyle w:val="Appelnotedebasdep"/>
          <w:rFonts w:asciiTheme="majorBidi" w:hAnsiTheme="majorBidi" w:cstheme="majorBidi"/>
          <w:sz w:val="24"/>
          <w:szCs w:val="24"/>
        </w:rPr>
        <w:footnoteReference w:id="4"/>
      </w:r>
      <w:r w:rsidRPr="006E4240">
        <w:rPr>
          <w:rFonts w:asciiTheme="majorBidi" w:hAnsiTheme="majorBidi" w:cstheme="majorBidi"/>
          <w:sz w:val="24"/>
          <w:szCs w:val="24"/>
        </w:rPr>
        <w:t>, 1668 projets d’</w:t>
      </w:r>
      <w:r>
        <w:rPr>
          <w:rFonts w:asciiTheme="majorBidi" w:hAnsiTheme="majorBidi" w:cstheme="majorBidi"/>
          <w:sz w:val="24"/>
          <w:szCs w:val="24"/>
        </w:rPr>
        <w:t>Approvisionnement</w:t>
      </w:r>
      <w:r w:rsidRPr="006E4240">
        <w:rPr>
          <w:rFonts w:asciiTheme="majorBidi" w:hAnsiTheme="majorBidi" w:cstheme="majorBidi"/>
          <w:sz w:val="24"/>
          <w:szCs w:val="24"/>
        </w:rPr>
        <w:t xml:space="preserve"> en Eau Potable (AEP) ont été financés sous forme de </w:t>
      </w:r>
      <w:r>
        <w:rPr>
          <w:rFonts w:asciiTheme="majorBidi" w:hAnsiTheme="majorBidi" w:cstheme="majorBidi"/>
          <w:sz w:val="24"/>
          <w:szCs w:val="24"/>
        </w:rPr>
        <w:t>ressource</w:t>
      </w:r>
      <w:r w:rsidRPr="006E4240">
        <w:rPr>
          <w:rFonts w:asciiTheme="majorBidi" w:hAnsiTheme="majorBidi" w:cstheme="majorBidi"/>
          <w:sz w:val="24"/>
          <w:szCs w:val="24"/>
        </w:rPr>
        <w:t xml:space="preserve">s </w:t>
      </w:r>
      <w:r>
        <w:rPr>
          <w:rFonts w:asciiTheme="majorBidi" w:hAnsiTheme="majorBidi" w:cstheme="majorBidi"/>
          <w:sz w:val="24"/>
          <w:szCs w:val="24"/>
        </w:rPr>
        <w:t>transférées</w:t>
      </w:r>
      <w:r w:rsidRPr="006E4240">
        <w:rPr>
          <w:rFonts w:asciiTheme="majorBidi" w:hAnsiTheme="majorBidi" w:cstheme="majorBidi"/>
          <w:sz w:val="24"/>
          <w:szCs w:val="24"/>
        </w:rPr>
        <w:t xml:space="preserve"> dans les 360 communes</w:t>
      </w:r>
      <w:r>
        <w:rPr>
          <w:rFonts w:asciiTheme="majorBidi" w:hAnsiTheme="majorBidi" w:cstheme="majorBidi"/>
          <w:sz w:val="24"/>
          <w:szCs w:val="24"/>
        </w:rPr>
        <w:t xml:space="preserve"> couvrant le territoire national </w:t>
      </w:r>
      <w:r w:rsidRPr="006E4240">
        <w:rPr>
          <w:rFonts w:asciiTheme="majorBidi" w:hAnsiTheme="majorBidi" w:cstheme="majorBidi"/>
          <w:sz w:val="24"/>
          <w:szCs w:val="24"/>
        </w:rPr>
        <w:t>entre 2015 et 2017, soit une moyenne de 4,6 projets d’AEP par comm</w:t>
      </w:r>
      <w:r>
        <w:rPr>
          <w:rFonts w:asciiTheme="majorBidi" w:hAnsiTheme="majorBidi" w:cstheme="majorBidi"/>
          <w:sz w:val="24"/>
          <w:szCs w:val="24"/>
        </w:rPr>
        <w:t>une. Toutefois, l’on note que la catégorie la plus importante regroupe les 70 communes qui n’ont bénéficié d’aucun projet d’AEP sur les trois exercices considérés.</w:t>
      </w:r>
      <w:r w:rsidRPr="006E4240">
        <w:rPr>
          <w:rFonts w:asciiTheme="majorBidi" w:hAnsiTheme="majorBidi" w:cstheme="majorBidi"/>
          <w:sz w:val="24"/>
          <w:szCs w:val="24"/>
        </w:rPr>
        <w:t xml:space="preserve"> </w:t>
      </w:r>
      <w:r>
        <w:rPr>
          <w:rFonts w:asciiTheme="majorBidi" w:hAnsiTheme="majorBidi" w:cstheme="majorBidi"/>
          <w:sz w:val="24"/>
          <w:szCs w:val="24"/>
        </w:rPr>
        <w:t>A contrario,</w:t>
      </w:r>
      <w:r w:rsidRPr="006E4240">
        <w:rPr>
          <w:rFonts w:asciiTheme="majorBidi" w:hAnsiTheme="majorBidi" w:cstheme="majorBidi"/>
          <w:sz w:val="24"/>
          <w:szCs w:val="24"/>
        </w:rPr>
        <w:t xml:space="preserve"> les 20 communes les mieux pourvues totalisent 371 projets d’AEP sur la même période soit une moyenne de 19 projets pour chacune d’entre elles.</w:t>
      </w:r>
      <w:r>
        <w:rPr>
          <w:rFonts w:asciiTheme="majorBidi" w:hAnsiTheme="majorBidi" w:cstheme="majorBidi"/>
          <w:sz w:val="24"/>
          <w:szCs w:val="24"/>
        </w:rPr>
        <w:t xml:space="preserve"> </w:t>
      </w:r>
    </w:p>
    <w:p w:rsidR="00B17AB1" w:rsidRDefault="00B17AB1" w:rsidP="00A52EA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Ces disparités dans la répartition des investissements entre les communes a pour conséquence une croissance déséquilibrée entre les localités du pays, source de nombreuses récriminations susceptibles de favoriser la corruption, les revendications locales et autres replis identitaires.  </w:t>
      </w:r>
    </w:p>
    <w:p w:rsidR="00D279B7" w:rsidRDefault="00AD37B5" w:rsidP="00A52EAE">
      <w:pPr>
        <w:spacing w:line="360" w:lineRule="auto"/>
        <w:jc w:val="both"/>
        <w:rPr>
          <w:rFonts w:asciiTheme="majorBidi" w:hAnsiTheme="majorBidi" w:cstheme="majorBidi"/>
          <w:sz w:val="24"/>
          <w:szCs w:val="24"/>
        </w:rPr>
      </w:pPr>
      <w:r>
        <w:rPr>
          <w:rFonts w:asciiTheme="majorBidi" w:hAnsiTheme="majorBidi" w:cstheme="majorBidi"/>
          <w:sz w:val="24"/>
          <w:szCs w:val="24"/>
        </w:rPr>
        <w:t>Il convient</w:t>
      </w:r>
      <w:r w:rsidR="00C95B80">
        <w:rPr>
          <w:rFonts w:asciiTheme="majorBidi" w:hAnsiTheme="majorBidi" w:cstheme="majorBidi"/>
          <w:sz w:val="24"/>
          <w:szCs w:val="24"/>
        </w:rPr>
        <w:t xml:space="preserve"> toutefois</w:t>
      </w:r>
      <w:r>
        <w:rPr>
          <w:rFonts w:asciiTheme="majorBidi" w:hAnsiTheme="majorBidi" w:cstheme="majorBidi"/>
          <w:sz w:val="24"/>
          <w:szCs w:val="24"/>
        </w:rPr>
        <w:t xml:space="preserve"> de </w:t>
      </w:r>
      <w:r w:rsidR="0097651E">
        <w:rPr>
          <w:rFonts w:asciiTheme="majorBidi" w:hAnsiTheme="majorBidi" w:cstheme="majorBidi"/>
          <w:sz w:val="24"/>
          <w:szCs w:val="24"/>
        </w:rPr>
        <w:t>souligner</w:t>
      </w:r>
      <w:r w:rsidR="00B01663">
        <w:rPr>
          <w:rFonts w:asciiTheme="majorBidi" w:hAnsiTheme="majorBidi" w:cstheme="majorBidi"/>
          <w:sz w:val="24"/>
          <w:szCs w:val="24"/>
        </w:rPr>
        <w:t xml:space="preserve"> que les récentes réformes du BIP prennent en compte </w:t>
      </w:r>
      <w:r w:rsidR="00B35999">
        <w:rPr>
          <w:rFonts w:asciiTheme="majorBidi" w:hAnsiTheme="majorBidi" w:cstheme="majorBidi"/>
          <w:sz w:val="24"/>
          <w:szCs w:val="24"/>
        </w:rPr>
        <w:t>la question de la répartition équitable des ressources entre le</w:t>
      </w:r>
      <w:r w:rsidR="00EE69CD">
        <w:rPr>
          <w:rFonts w:asciiTheme="majorBidi" w:hAnsiTheme="majorBidi" w:cstheme="majorBidi"/>
          <w:sz w:val="24"/>
          <w:szCs w:val="24"/>
        </w:rPr>
        <w:t>s différen</w:t>
      </w:r>
      <w:r w:rsidR="00B01663">
        <w:rPr>
          <w:rFonts w:asciiTheme="majorBidi" w:hAnsiTheme="majorBidi" w:cstheme="majorBidi"/>
          <w:sz w:val="24"/>
          <w:szCs w:val="24"/>
        </w:rPr>
        <w:t>tes localités du pays. Ainsi,</w:t>
      </w:r>
      <w:r w:rsidR="00EE69CD">
        <w:rPr>
          <w:rFonts w:asciiTheme="majorBidi" w:hAnsiTheme="majorBidi" w:cstheme="majorBidi"/>
          <w:sz w:val="24"/>
          <w:szCs w:val="24"/>
        </w:rPr>
        <w:t xml:space="preserve"> </w:t>
      </w:r>
      <w:r w:rsidR="00A52EAE">
        <w:rPr>
          <w:rFonts w:asciiTheme="majorBidi" w:hAnsiTheme="majorBidi" w:cstheme="majorBidi"/>
          <w:sz w:val="24"/>
          <w:szCs w:val="24"/>
        </w:rPr>
        <w:t xml:space="preserve">le nouveau mode opératoire de budgétisation, d’exécution et de suivi des ressources d’investissement public transférées aux CTD prévoit la répartition de la nouvelle dotation </w:t>
      </w:r>
      <w:r w:rsidR="00A52EAE">
        <w:rPr>
          <w:rFonts w:asciiTheme="majorBidi" w:hAnsiTheme="majorBidi" w:cstheme="majorBidi"/>
          <w:sz w:val="24"/>
          <w:szCs w:val="24"/>
        </w:rPr>
        <w:lastRenderedPageBreak/>
        <w:t>d’investissement entre les 360 communes du Cameroun</w:t>
      </w:r>
      <w:r w:rsidR="00A52EAE">
        <w:rPr>
          <w:rStyle w:val="Appelnotedebasdep"/>
          <w:rFonts w:asciiTheme="majorBidi" w:hAnsiTheme="majorBidi" w:cstheme="majorBidi"/>
          <w:sz w:val="24"/>
          <w:szCs w:val="24"/>
        </w:rPr>
        <w:footnoteReference w:id="5"/>
      </w:r>
      <w:r w:rsidR="00A52EAE">
        <w:rPr>
          <w:rFonts w:asciiTheme="majorBidi" w:hAnsiTheme="majorBidi" w:cstheme="majorBidi"/>
          <w:sz w:val="24"/>
          <w:szCs w:val="24"/>
        </w:rPr>
        <w:t>.</w:t>
      </w:r>
      <w:r w:rsidR="00D279B7">
        <w:rPr>
          <w:rFonts w:asciiTheme="majorBidi" w:hAnsiTheme="majorBidi" w:cstheme="majorBidi"/>
          <w:sz w:val="24"/>
          <w:szCs w:val="24"/>
        </w:rPr>
        <w:t xml:space="preserve"> Cette réforme importante est entrée en application dès l’exercice 2019, avec une augmentation substantielle du montant de la Dotation Générale de la Décentralisation</w:t>
      </w:r>
      <w:r w:rsidR="002315EB">
        <w:rPr>
          <w:rFonts w:asciiTheme="majorBidi" w:hAnsiTheme="majorBidi" w:cstheme="majorBidi"/>
          <w:sz w:val="24"/>
          <w:szCs w:val="24"/>
        </w:rPr>
        <w:t xml:space="preserve"> (DGD)</w:t>
      </w:r>
      <w:r w:rsidR="00D279B7">
        <w:rPr>
          <w:rFonts w:asciiTheme="majorBidi" w:hAnsiTheme="majorBidi" w:cstheme="majorBidi"/>
          <w:sz w:val="24"/>
          <w:szCs w:val="24"/>
        </w:rPr>
        <w:t>, qui est passée de 10 milliards F CFA en 2018 à 49,8 milliards en 2019</w:t>
      </w:r>
      <w:r w:rsidR="00D279B7">
        <w:rPr>
          <w:rStyle w:val="Appelnotedebasdep"/>
          <w:rFonts w:asciiTheme="majorBidi" w:hAnsiTheme="majorBidi" w:cstheme="majorBidi"/>
          <w:sz w:val="24"/>
          <w:szCs w:val="24"/>
        </w:rPr>
        <w:footnoteReference w:id="6"/>
      </w:r>
      <w:r w:rsidR="0090113A">
        <w:rPr>
          <w:rFonts w:asciiTheme="majorBidi" w:hAnsiTheme="majorBidi" w:cstheme="majorBidi"/>
          <w:sz w:val="24"/>
          <w:szCs w:val="24"/>
        </w:rPr>
        <w:t>, soit une augmentation sans précédent de 500%</w:t>
      </w:r>
      <w:r w:rsidR="00D279B7">
        <w:rPr>
          <w:rFonts w:asciiTheme="majorBidi" w:hAnsiTheme="majorBidi" w:cstheme="majorBidi"/>
          <w:sz w:val="24"/>
          <w:szCs w:val="24"/>
        </w:rPr>
        <w:t xml:space="preserve">. </w:t>
      </w:r>
    </w:p>
    <w:p w:rsidR="00A52EAE" w:rsidRDefault="005C1B62" w:rsidP="00A52EAE">
      <w:pPr>
        <w:spacing w:line="360" w:lineRule="auto"/>
        <w:jc w:val="both"/>
        <w:rPr>
          <w:rFonts w:asciiTheme="majorBidi" w:hAnsiTheme="majorBidi" w:cstheme="majorBidi"/>
          <w:sz w:val="24"/>
          <w:szCs w:val="24"/>
        </w:rPr>
      </w:pPr>
      <w:r>
        <w:rPr>
          <w:rFonts w:asciiTheme="majorBidi" w:hAnsiTheme="majorBidi" w:cstheme="majorBidi"/>
          <w:sz w:val="24"/>
          <w:szCs w:val="24"/>
        </w:rPr>
        <w:t>Par ailleurs</w:t>
      </w:r>
      <w:r w:rsidR="002315EB">
        <w:rPr>
          <w:rFonts w:asciiTheme="majorBidi" w:hAnsiTheme="majorBidi" w:cstheme="majorBidi"/>
          <w:sz w:val="24"/>
          <w:szCs w:val="24"/>
        </w:rPr>
        <w:t>, le décret fixant la répartition de la DGD en 2019 prévoit un</w:t>
      </w:r>
      <w:r w:rsidR="002F3EED">
        <w:rPr>
          <w:rFonts w:asciiTheme="majorBidi" w:hAnsiTheme="majorBidi" w:cstheme="majorBidi"/>
          <w:sz w:val="24"/>
          <w:szCs w:val="24"/>
        </w:rPr>
        <w:t>e répartition égale de la</w:t>
      </w:r>
      <w:r>
        <w:rPr>
          <w:rFonts w:asciiTheme="majorBidi" w:hAnsiTheme="majorBidi" w:cstheme="majorBidi"/>
          <w:sz w:val="24"/>
          <w:szCs w:val="24"/>
        </w:rPr>
        <w:t xml:space="preserve"> Dotation Générale d’Investissement (DGI) </w:t>
      </w:r>
      <w:r w:rsidR="002F3EED">
        <w:rPr>
          <w:rFonts w:asciiTheme="majorBidi" w:hAnsiTheme="majorBidi" w:cstheme="majorBidi"/>
          <w:sz w:val="24"/>
          <w:szCs w:val="24"/>
        </w:rPr>
        <w:t>entre les communes, soit un</w:t>
      </w:r>
      <w:r w:rsidR="002315EB">
        <w:rPr>
          <w:rFonts w:asciiTheme="majorBidi" w:hAnsiTheme="majorBidi" w:cstheme="majorBidi"/>
          <w:sz w:val="24"/>
          <w:szCs w:val="24"/>
        </w:rPr>
        <w:t xml:space="preserve"> quota de 100 millions F CFA par commune</w:t>
      </w:r>
      <w:r w:rsidR="00A52EAE">
        <w:rPr>
          <w:rFonts w:asciiTheme="majorBidi" w:hAnsiTheme="majorBidi" w:cstheme="majorBidi"/>
          <w:sz w:val="24"/>
          <w:szCs w:val="24"/>
        </w:rPr>
        <w:t>. Cette nouvelle modalité de r</w:t>
      </w:r>
      <w:r w:rsidR="00FA7CB8">
        <w:rPr>
          <w:rFonts w:asciiTheme="majorBidi" w:hAnsiTheme="majorBidi" w:cstheme="majorBidi"/>
          <w:sz w:val="24"/>
          <w:szCs w:val="24"/>
        </w:rPr>
        <w:t xml:space="preserve">épartition </w:t>
      </w:r>
      <w:r w:rsidR="00A52EAE">
        <w:rPr>
          <w:rFonts w:asciiTheme="majorBidi" w:hAnsiTheme="majorBidi" w:cstheme="majorBidi"/>
          <w:sz w:val="24"/>
          <w:szCs w:val="24"/>
        </w:rPr>
        <w:t xml:space="preserve">est susceptible de réduire les inégalités de développement entre les </w:t>
      </w:r>
      <w:r w:rsidR="003F2498">
        <w:rPr>
          <w:rFonts w:asciiTheme="majorBidi" w:hAnsiTheme="majorBidi" w:cstheme="majorBidi"/>
          <w:sz w:val="24"/>
          <w:szCs w:val="24"/>
        </w:rPr>
        <w:t>communes, car les collectivités</w:t>
      </w:r>
      <w:r w:rsidR="00A52EAE">
        <w:rPr>
          <w:rFonts w:asciiTheme="majorBidi" w:hAnsiTheme="majorBidi" w:cstheme="majorBidi"/>
          <w:sz w:val="24"/>
          <w:szCs w:val="24"/>
        </w:rPr>
        <w:t xml:space="preserve"> </w:t>
      </w:r>
      <w:r w:rsidR="003F2498">
        <w:rPr>
          <w:rFonts w:asciiTheme="majorBidi" w:hAnsiTheme="majorBidi" w:cstheme="majorBidi"/>
          <w:sz w:val="24"/>
          <w:szCs w:val="24"/>
        </w:rPr>
        <w:t xml:space="preserve">rurales les plus pauvres </w:t>
      </w:r>
      <w:r w:rsidR="00A52EAE">
        <w:rPr>
          <w:rFonts w:asciiTheme="majorBidi" w:hAnsiTheme="majorBidi" w:cstheme="majorBidi"/>
          <w:sz w:val="24"/>
          <w:szCs w:val="24"/>
        </w:rPr>
        <w:t>ont</w:t>
      </w:r>
      <w:r w:rsidR="003F2498">
        <w:rPr>
          <w:rFonts w:asciiTheme="majorBidi" w:hAnsiTheme="majorBidi" w:cstheme="majorBidi"/>
          <w:sz w:val="24"/>
          <w:szCs w:val="24"/>
        </w:rPr>
        <w:t xml:space="preserve"> </w:t>
      </w:r>
      <w:r w:rsidR="005E6ADA">
        <w:rPr>
          <w:rFonts w:asciiTheme="majorBidi" w:hAnsiTheme="majorBidi" w:cstheme="majorBidi"/>
          <w:sz w:val="24"/>
          <w:szCs w:val="24"/>
        </w:rPr>
        <w:t>désormais</w:t>
      </w:r>
      <w:r w:rsidR="003F2498">
        <w:rPr>
          <w:rFonts w:asciiTheme="majorBidi" w:hAnsiTheme="majorBidi" w:cstheme="majorBidi"/>
          <w:sz w:val="24"/>
          <w:szCs w:val="24"/>
        </w:rPr>
        <w:t xml:space="preserve"> la possibilité de financer leurs</w:t>
      </w:r>
      <w:r w:rsidR="00A52EAE">
        <w:rPr>
          <w:rFonts w:asciiTheme="majorBidi" w:hAnsiTheme="majorBidi" w:cstheme="majorBidi"/>
          <w:sz w:val="24"/>
          <w:szCs w:val="24"/>
        </w:rPr>
        <w:t xml:space="preserve"> projets</w:t>
      </w:r>
      <w:r w:rsidR="003F2498">
        <w:rPr>
          <w:rFonts w:asciiTheme="majorBidi" w:hAnsiTheme="majorBidi" w:cstheme="majorBidi"/>
          <w:sz w:val="24"/>
          <w:szCs w:val="24"/>
        </w:rPr>
        <w:t xml:space="preserve"> de développement</w:t>
      </w:r>
      <w:r w:rsidR="005E6ADA">
        <w:rPr>
          <w:rFonts w:asciiTheme="majorBidi" w:hAnsiTheme="majorBidi" w:cstheme="majorBidi"/>
          <w:sz w:val="24"/>
          <w:szCs w:val="24"/>
        </w:rPr>
        <w:t xml:space="preserve"> à travers la DGI</w:t>
      </w:r>
      <w:r w:rsidR="003F2498">
        <w:rPr>
          <w:rFonts w:asciiTheme="majorBidi" w:hAnsiTheme="majorBidi" w:cstheme="majorBidi"/>
          <w:sz w:val="24"/>
          <w:szCs w:val="24"/>
        </w:rPr>
        <w:t>.</w:t>
      </w:r>
    </w:p>
    <w:p w:rsidR="00A52EAE" w:rsidRDefault="00A52EAE" w:rsidP="00A52EAE">
      <w:pPr>
        <w:spacing w:line="360" w:lineRule="auto"/>
        <w:jc w:val="both"/>
        <w:rPr>
          <w:rFonts w:asciiTheme="majorBidi" w:hAnsiTheme="majorBidi" w:cstheme="majorBidi"/>
          <w:sz w:val="24"/>
          <w:szCs w:val="24"/>
        </w:rPr>
      </w:pPr>
      <w:r>
        <w:rPr>
          <w:rFonts w:asciiTheme="majorBidi" w:hAnsiTheme="majorBidi" w:cstheme="majorBidi"/>
          <w:sz w:val="24"/>
          <w:szCs w:val="24"/>
        </w:rPr>
        <w:t>Néanmoins, il est important de noter que le critère</w:t>
      </w:r>
      <w:r w:rsidR="00641FE2">
        <w:rPr>
          <w:rFonts w:asciiTheme="majorBidi" w:hAnsiTheme="majorBidi" w:cstheme="majorBidi"/>
          <w:sz w:val="24"/>
          <w:szCs w:val="24"/>
        </w:rPr>
        <w:t xml:space="preserve"> retenu pour la</w:t>
      </w:r>
      <w:r>
        <w:rPr>
          <w:rFonts w:asciiTheme="majorBidi" w:hAnsiTheme="majorBidi" w:cstheme="majorBidi"/>
          <w:sz w:val="24"/>
          <w:szCs w:val="24"/>
        </w:rPr>
        <w:t xml:space="preserve"> répartition de la DGI entre les communes est un critère de répartition égale et non un critère de répartition équitable. En effet, les besoins peuvent varier d’une commune à l’autre en fonction de l’effectif de la population. Une répartition équitable intègre donc la répartition de base (montant égal pour toutes les communes) et la répartition suivant les critères démographiques (montant variable selon les besoins de la commune). </w:t>
      </w:r>
    </w:p>
    <w:p w:rsidR="00A52EAE" w:rsidRPr="00A4658C" w:rsidRDefault="00A52EAE" w:rsidP="00A52EA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D’où la question de recherche : </w:t>
      </w:r>
      <w:r w:rsidRPr="00A612E7">
        <w:rPr>
          <w:rFonts w:asciiTheme="majorBidi" w:hAnsiTheme="majorBidi" w:cstheme="majorBidi"/>
          <w:b/>
          <w:bCs/>
          <w:i/>
          <w:iCs/>
          <w:sz w:val="24"/>
          <w:szCs w:val="24"/>
        </w:rPr>
        <w:t xml:space="preserve">Comment peut-on </w:t>
      </w:r>
      <w:r>
        <w:rPr>
          <w:rFonts w:asciiTheme="majorBidi" w:hAnsiTheme="majorBidi" w:cstheme="majorBidi"/>
          <w:b/>
          <w:bCs/>
          <w:i/>
          <w:iCs/>
          <w:sz w:val="24"/>
          <w:szCs w:val="24"/>
        </w:rPr>
        <w:t>construire un indice à même de rendre compte des progrès réalisés dans la répartition</w:t>
      </w:r>
      <w:r w:rsidRPr="00A612E7">
        <w:rPr>
          <w:rFonts w:asciiTheme="majorBidi" w:hAnsiTheme="majorBidi" w:cstheme="majorBidi"/>
          <w:b/>
          <w:bCs/>
          <w:i/>
          <w:iCs/>
          <w:sz w:val="24"/>
          <w:szCs w:val="24"/>
        </w:rPr>
        <w:t xml:space="preserve"> équit</w:t>
      </w:r>
      <w:r>
        <w:rPr>
          <w:rFonts w:asciiTheme="majorBidi" w:hAnsiTheme="majorBidi" w:cstheme="majorBidi"/>
          <w:b/>
          <w:bCs/>
          <w:i/>
          <w:iCs/>
          <w:sz w:val="24"/>
          <w:szCs w:val="24"/>
        </w:rPr>
        <w:t>able</w:t>
      </w:r>
      <w:r w:rsidRPr="00A612E7">
        <w:rPr>
          <w:rFonts w:asciiTheme="majorBidi" w:hAnsiTheme="majorBidi" w:cstheme="majorBidi"/>
          <w:b/>
          <w:bCs/>
          <w:i/>
          <w:iCs/>
          <w:sz w:val="24"/>
          <w:szCs w:val="24"/>
        </w:rPr>
        <w:t xml:space="preserve"> de</w:t>
      </w:r>
      <w:r>
        <w:rPr>
          <w:rFonts w:asciiTheme="majorBidi" w:hAnsiTheme="majorBidi" w:cstheme="majorBidi"/>
          <w:b/>
          <w:bCs/>
          <w:i/>
          <w:iCs/>
          <w:sz w:val="24"/>
          <w:szCs w:val="24"/>
        </w:rPr>
        <w:t>s ressources d’investissement entre les communes ?</w:t>
      </w:r>
    </w:p>
    <w:p w:rsidR="00A52EAE" w:rsidRDefault="00A52EAE" w:rsidP="00A52EA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L’objectif de cette étude est d’élaborer un modèle capable d’expliquer la répartition des </w:t>
      </w:r>
      <w:r w:rsidR="00D71124">
        <w:rPr>
          <w:rFonts w:asciiTheme="majorBidi" w:hAnsiTheme="majorBidi" w:cstheme="majorBidi"/>
          <w:sz w:val="24"/>
          <w:szCs w:val="24"/>
        </w:rPr>
        <w:t>Ressources d’Investissement (</w:t>
      </w:r>
      <w:r>
        <w:rPr>
          <w:rFonts w:asciiTheme="majorBidi" w:hAnsiTheme="majorBidi" w:cstheme="majorBidi"/>
          <w:sz w:val="24"/>
          <w:szCs w:val="24"/>
        </w:rPr>
        <w:t>RI</w:t>
      </w:r>
      <w:r w:rsidR="00D71124">
        <w:rPr>
          <w:rFonts w:asciiTheme="majorBidi" w:hAnsiTheme="majorBidi" w:cstheme="majorBidi"/>
          <w:sz w:val="24"/>
          <w:szCs w:val="24"/>
        </w:rPr>
        <w:t>)</w:t>
      </w:r>
      <w:r>
        <w:rPr>
          <w:rFonts w:asciiTheme="majorBidi" w:hAnsiTheme="majorBidi" w:cstheme="majorBidi"/>
          <w:sz w:val="24"/>
          <w:szCs w:val="24"/>
        </w:rPr>
        <w:t xml:space="preserve"> entre les communes en fonction des critères de répartition équitable reflétant les besoins en matière de développement.   </w:t>
      </w:r>
    </w:p>
    <w:p w:rsidR="00AE1690" w:rsidRDefault="00A52EAE" w:rsidP="00A52EAE">
      <w:pPr>
        <w:spacing w:line="360" w:lineRule="auto"/>
        <w:jc w:val="both"/>
        <w:rPr>
          <w:rFonts w:asciiTheme="majorBidi" w:hAnsiTheme="majorBidi" w:cstheme="majorBidi"/>
          <w:sz w:val="24"/>
          <w:szCs w:val="24"/>
        </w:rPr>
      </w:pPr>
      <w:r>
        <w:rPr>
          <w:rFonts w:asciiTheme="majorBidi" w:hAnsiTheme="majorBidi" w:cstheme="majorBidi"/>
          <w:sz w:val="24"/>
          <w:szCs w:val="24"/>
        </w:rPr>
        <w:t>La première hypothèse de l’étude affirme que l’Indice de Répartition Equitable (IRE) permet de mesurer les progrès réalisés dans la réduction des inégalités spatiales entre les communes en matière d’accès aux</w:t>
      </w:r>
      <w:r w:rsidR="00D71124">
        <w:rPr>
          <w:rFonts w:asciiTheme="majorBidi" w:hAnsiTheme="majorBidi" w:cstheme="majorBidi"/>
          <w:sz w:val="24"/>
          <w:szCs w:val="24"/>
        </w:rPr>
        <w:t xml:space="preserve"> RI</w:t>
      </w:r>
      <w:r>
        <w:rPr>
          <w:rFonts w:asciiTheme="majorBidi" w:hAnsiTheme="majorBidi" w:cstheme="majorBidi"/>
          <w:sz w:val="24"/>
          <w:szCs w:val="24"/>
        </w:rPr>
        <w:t xml:space="preserve">. </w:t>
      </w:r>
    </w:p>
    <w:p w:rsidR="00A52EAE" w:rsidRDefault="00A52EAE" w:rsidP="00A52EAE">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La deux</w:t>
      </w:r>
      <w:r w:rsidR="00B55262">
        <w:rPr>
          <w:rFonts w:asciiTheme="majorBidi" w:hAnsiTheme="majorBidi" w:cstheme="majorBidi"/>
          <w:sz w:val="24"/>
          <w:szCs w:val="24"/>
        </w:rPr>
        <w:t>ième hypothèse affirme que le modèle de répartition équitable</w:t>
      </w:r>
      <w:r>
        <w:rPr>
          <w:rFonts w:asciiTheme="majorBidi" w:hAnsiTheme="majorBidi" w:cstheme="majorBidi"/>
          <w:sz w:val="24"/>
          <w:szCs w:val="24"/>
        </w:rPr>
        <w:t xml:space="preserve"> permet de déterminer l</w:t>
      </w:r>
      <w:r w:rsidR="00B55262">
        <w:rPr>
          <w:rFonts w:asciiTheme="majorBidi" w:hAnsiTheme="majorBidi" w:cstheme="majorBidi"/>
          <w:sz w:val="24"/>
          <w:szCs w:val="24"/>
        </w:rPr>
        <w:t xml:space="preserve">e degré d’intégration </w:t>
      </w:r>
      <w:r w:rsidR="00AE1690">
        <w:rPr>
          <w:rFonts w:asciiTheme="majorBidi" w:hAnsiTheme="majorBidi" w:cstheme="majorBidi"/>
          <w:sz w:val="24"/>
          <w:szCs w:val="24"/>
        </w:rPr>
        <w:t>des objectifs</w:t>
      </w:r>
      <w:r w:rsidR="00B55262">
        <w:rPr>
          <w:rFonts w:asciiTheme="majorBidi" w:hAnsiTheme="majorBidi" w:cstheme="majorBidi"/>
          <w:sz w:val="24"/>
          <w:szCs w:val="24"/>
        </w:rPr>
        <w:t xml:space="preserve"> fixés en matière</w:t>
      </w:r>
      <w:r w:rsidR="00AE1690">
        <w:rPr>
          <w:rFonts w:asciiTheme="majorBidi" w:hAnsiTheme="majorBidi" w:cstheme="majorBidi"/>
          <w:sz w:val="24"/>
          <w:szCs w:val="24"/>
        </w:rPr>
        <w:t xml:space="preserve"> de développement </w:t>
      </w:r>
      <w:r>
        <w:rPr>
          <w:rFonts w:asciiTheme="majorBidi" w:hAnsiTheme="majorBidi" w:cstheme="majorBidi"/>
          <w:sz w:val="24"/>
          <w:szCs w:val="24"/>
        </w:rPr>
        <w:t>dans l</w:t>
      </w:r>
      <w:r w:rsidR="00AE1690">
        <w:rPr>
          <w:rFonts w:asciiTheme="majorBidi" w:hAnsiTheme="majorBidi" w:cstheme="majorBidi"/>
          <w:sz w:val="24"/>
          <w:szCs w:val="24"/>
        </w:rPr>
        <w:t>’</w:t>
      </w:r>
      <w:r w:rsidR="00E1396B">
        <w:rPr>
          <w:rFonts w:asciiTheme="majorBidi" w:hAnsiTheme="majorBidi" w:cstheme="majorBidi"/>
          <w:sz w:val="24"/>
          <w:szCs w:val="24"/>
        </w:rPr>
        <w:t>allocation des ressources d’investissement</w:t>
      </w:r>
      <w:r w:rsidR="00AE1690">
        <w:rPr>
          <w:rFonts w:asciiTheme="majorBidi" w:hAnsiTheme="majorBidi" w:cstheme="majorBidi"/>
          <w:sz w:val="24"/>
          <w:szCs w:val="24"/>
        </w:rPr>
        <w:t xml:space="preserve"> au niveau local</w:t>
      </w:r>
      <w:r>
        <w:rPr>
          <w:rFonts w:asciiTheme="majorBidi" w:hAnsiTheme="majorBidi" w:cstheme="majorBidi"/>
          <w:sz w:val="24"/>
          <w:szCs w:val="24"/>
        </w:rPr>
        <w:t>.</w:t>
      </w:r>
    </w:p>
    <w:p w:rsidR="00A52EAE" w:rsidRPr="007A6825" w:rsidRDefault="00A52EAE" w:rsidP="00A52EAE">
      <w:pPr>
        <w:spacing w:line="360" w:lineRule="auto"/>
        <w:rPr>
          <w:rFonts w:asciiTheme="majorBidi" w:hAnsiTheme="majorBidi" w:cstheme="majorBidi"/>
          <w:b/>
          <w:bCs/>
          <w:sz w:val="24"/>
          <w:szCs w:val="24"/>
        </w:rPr>
      </w:pPr>
      <w:r w:rsidRPr="007A6825">
        <w:rPr>
          <w:rFonts w:asciiTheme="majorBidi" w:hAnsiTheme="majorBidi" w:cstheme="majorBidi"/>
          <w:b/>
          <w:bCs/>
          <w:sz w:val="24"/>
          <w:szCs w:val="24"/>
        </w:rPr>
        <w:t xml:space="preserve">2. Méthodologie </w:t>
      </w:r>
    </w:p>
    <w:p w:rsidR="00A52EAE" w:rsidRDefault="00A52EAE" w:rsidP="00A52EAE">
      <w:pPr>
        <w:spacing w:line="360" w:lineRule="auto"/>
        <w:rPr>
          <w:rFonts w:asciiTheme="majorBidi" w:hAnsiTheme="majorBidi" w:cstheme="majorBidi"/>
          <w:b/>
          <w:bCs/>
          <w:sz w:val="24"/>
          <w:szCs w:val="24"/>
        </w:rPr>
      </w:pPr>
      <w:r w:rsidRPr="000C5524">
        <w:rPr>
          <w:rFonts w:asciiTheme="majorBidi" w:hAnsiTheme="majorBidi" w:cstheme="majorBidi"/>
          <w:b/>
          <w:bCs/>
          <w:sz w:val="24"/>
          <w:szCs w:val="24"/>
        </w:rPr>
        <w:t>2.1 Source des données</w:t>
      </w:r>
    </w:p>
    <w:p w:rsidR="003D19FC" w:rsidRDefault="00A52EAE" w:rsidP="002D0D4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Pour modéliser la répartition des RI entre les communes, </w:t>
      </w:r>
      <w:r w:rsidR="002049E2">
        <w:rPr>
          <w:rFonts w:asciiTheme="majorBidi" w:hAnsiTheme="majorBidi" w:cstheme="majorBidi"/>
          <w:sz w:val="24"/>
          <w:szCs w:val="24"/>
        </w:rPr>
        <w:t>cette étude utilise</w:t>
      </w:r>
      <w:r>
        <w:rPr>
          <w:rFonts w:asciiTheme="majorBidi" w:hAnsiTheme="majorBidi" w:cstheme="majorBidi"/>
          <w:sz w:val="24"/>
          <w:szCs w:val="24"/>
        </w:rPr>
        <w:t xml:space="preserve"> </w:t>
      </w:r>
      <w:r w:rsidR="00A72453">
        <w:rPr>
          <w:rFonts w:asciiTheme="majorBidi" w:hAnsiTheme="majorBidi" w:cstheme="majorBidi"/>
          <w:sz w:val="24"/>
          <w:szCs w:val="24"/>
        </w:rPr>
        <w:t xml:space="preserve">les </w:t>
      </w:r>
      <w:r w:rsidR="00A02B11">
        <w:rPr>
          <w:rFonts w:asciiTheme="majorBidi" w:hAnsiTheme="majorBidi" w:cstheme="majorBidi"/>
          <w:sz w:val="24"/>
          <w:szCs w:val="24"/>
        </w:rPr>
        <w:t xml:space="preserve">bases de </w:t>
      </w:r>
      <w:r>
        <w:rPr>
          <w:rFonts w:asciiTheme="majorBidi" w:hAnsiTheme="majorBidi" w:cstheme="majorBidi"/>
          <w:sz w:val="24"/>
          <w:szCs w:val="24"/>
        </w:rPr>
        <w:t xml:space="preserve">données </w:t>
      </w:r>
      <w:r w:rsidR="00A72453">
        <w:rPr>
          <w:rFonts w:asciiTheme="majorBidi" w:hAnsiTheme="majorBidi" w:cstheme="majorBidi"/>
          <w:sz w:val="24"/>
          <w:szCs w:val="24"/>
        </w:rPr>
        <w:t>d</w:t>
      </w:r>
      <w:r>
        <w:rPr>
          <w:rFonts w:asciiTheme="majorBidi" w:hAnsiTheme="majorBidi" w:cstheme="majorBidi"/>
          <w:sz w:val="24"/>
          <w:szCs w:val="24"/>
        </w:rPr>
        <w:t>’exécution du BIP</w:t>
      </w:r>
      <w:r w:rsidR="006C11FF">
        <w:rPr>
          <w:rFonts w:asciiTheme="majorBidi" w:hAnsiTheme="majorBidi" w:cstheme="majorBidi"/>
          <w:sz w:val="24"/>
          <w:szCs w:val="24"/>
        </w:rPr>
        <w:t xml:space="preserve"> </w:t>
      </w:r>
      <w:r w:rsidR="009855AE" w:rsidRPr="009855AE">
        <w:rPr>
          <w:rFonts w:asciiTheme="majorBidi" w:hAnsiTheme="majorBidi" w:cstheme="majorBidi"/>
          <w:sz w:val="24"/>
          <w:szCs w:val="24"/>
        </w:rPr>
        <w:t>compilées par le</w:t>
      </w:r>
      <w:r w:rsidR="00C4550C">
        <w:rPr>
          <w:rFonts w:asciiTheme="majorBidi" w:hAnsiTheme="majorBidi" w:cstheme="majorBidi"/>
          <w:sz w:val="24"/>
          <w:szCs w:val="24"/>
        </w:rPr>
        <w:t xml:space="preserve"> Ministère de l’Economie, de la Planification et de l’Aménagement du Territoire</w:t>
      </w:r>
      <w:r w:rsidR="009855AE" w:rsidRPr="009855AE">
        <w:rPr>
          <w:rFonts w:asciiTheme="majorBidi" w:hAnsiTheme="majorBidi" w:cstheme="majorBidi"/>
          <w:sz w:val="24"/>
          <w:szCs w:val="24"/>
        </w:rPr>
        <w:t xml:space="preserve"> </w:t>
      </w:r>
      <w:r w:rsidR="00C4550C">
        <w:rPr>
          <w:rFonts w:asciiTheme="majorBidi" w:hAnsiTheme="majorBidi" w:cstheme="majorBidi"/>
          <w:sz w:val="24"/>
          <w:szCs w:val="24"/>
        </w:rPr>
        <w:t>(</w:t>
      </w:r>
      <w:r w:rsidR="009855AE" w:rsidRPr="009855AE">
        <w:rPr>
          <w:rFonts w:asciiTheme="majorBidi" w:hAnsiTheme="majorBidi" w:cstheme="majorBidi"/>
          <w:sz w:val="24"/>
          <w:szCs w:val="24"/>
        </w:rPr>
        <w:t>MINEPAT</w:t>
      </w:r>
      <w:r w:rsidR="00C4550C">
        <w:rPr>
          <w:rFonts w:asciiTheme="majorBidi" w:hAnsiTheme="majorBidi" w:cstheme="majorBidi"/>
          <w:sz w:val="24"/>
          <w:szCs w:val="24"/>
        </w:rPr>
        <w:t>)</w:t>
      </w:r>
      <w:r w:rsidR="009855AE" w:rsidRPr="009855AE">
        <w:rPr>
          <w:rFonts w:asciiTheme="majorBidi" w:hAnsiTheme="majorBidi" w:cstheme="majorBidi"/>
          <w:sz w:val="24"/>
          <w:szCs w:val="24"/>
        </w:rPr>
        <w:t xml:space="preserve"> </w:t>
      </w:r>
      <w:r w:rsidR="009855AE">
        <w:rPr>
          <w:rFonts w:asciiTheme="majorBidi" w:hAnsiTheme="majorBidi" w:cstheme="majorBidi"/>
          <w:sz w:val="24"/>
          <w:szCs w:val="24"/>
        </w:rPr>
        <w:t>dans le cadre du suivi du BIP</w:t>
      </w:r>
      <w:r w:rsidR="006078B7">
        <w:rPr>
          <w:rFonts w:asciiTheme="majorBidi" w:hAnsiTheme="majorBidi" w:cstheme="majorBidi"/>
          <w:sz w:val="24"/>
          <w:szCs w:val="24"/>
        </w:rPr>
        <w:t xml:space="preserve"> </w:t>
      </w:r>
      <w:r w:rsidR="00367C02">
        <w:rPr>
          <w:rFonts w:asciiTheme="majorBidi" w:hAnsiTheme="majorBidi" w:cstheme="majorBidi"/>
          <w:sz w:val="24"/>
          <w:szCs w:val="24"/>
        </w:rPr>
        <w:t>pour l’</w:t>
      </w:r>
      <w:r w:rsidR="006078B7">
        <w:rPr>
          <w:rFonts w:asciiTheme="majorBidi" w:hAnsiTheme="majorBidi" w:cstheme="majorBidi"/>
          <w:sz w:val="24"/>
          <w:szCs w:val="24"/>
        </w:rPr>
        <w:t>exercice budgétaire</w:t>
      </w:r>
      <w:r w:rsidR="00EA4CCC">
        <w:rPr>
          <w:rFonts w:asciiTheme="majorBidi" w:hAnsiTheme="majorBidi" w:cstheme="majorBidi"/>
          <w:sz w:val="24"/>
          <w:szCs w:val="24"/>
        </w:rPr>
        <w:t xml:space="preserve"> </w:t>
      </w:r>
      <w:r w:rsidR="006078B7">
        <w:rPr>
          <w:rFonts w:asciiTheme="majorBidi" w:hAnsiTheme="majorBidi" w:cstheme="majorBidi"/>
          <w:sz w:val="24"/>
          <w:szCs w:val="24"/>
        </w:rPr>
        <w:t>2017</w:t>
      </w:r>
      <w:r w:rsidR="009855AE">
        <w:rPr>
          <w:rFonts w:asciiTheme="majorBidi" w:hAnsiTheme="majorBidi" w:cstheme="majorBidi"/>
          <w:sz w:val="24"/>
          <w:szCs w:val="24"/>
        </w:rPr>
        <w:t xml:space="preserve">. </w:t>
      </w:r>
    </w:p>
    <w:p w:rsidR="0087093E" w:rsidRDefault="00A52EAE" w:rsidP="00A52EA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Pour la mise en adéquation des dépenses d’investissement et des besoins en matière de développement au </w:t>
      </w:r>
      <w:r w:rsidR="000153D2">
        <w:rPr>
          <w:rFonts w:asciiTheme="majorBidi" w:hAnsiTheme="majorBidi" w:cstheme="majorBidi"/>
          <w:sz w:val="24"/>
          <w:szCs w:val="24"/>
        </w:rPr>
        <w:t>niveau local, il est nécessaire d’obtenir</w:t>
      </w:r>
      <w:r>
        <w:rPr>
          <w:rFonts w:asciiTheme="majorBidi" w:hAnsiTheme="majorBidi" w:cstheme="majorBidi"/>
          <w:sz w:val="24"/>
          <w:szCs w:val="24"/>
        </w:rPr>
        <w:t xml:space="preserve"> les données sur le niveau de développement dans les différentes localités (</w:t>
      </w:r>
      <w:r w:rsidR="00535245">
        <w:rPr>
          <w:rFonts w:asciiTheme="majorBidi" w:hAnsiTheme="majorBidi" w:cstheme="majorBidi"/>
          <w:i/>
          <w:sz w:val="24"/>
          <w:szCs w:val="24"/>
        </w:rPr>
        <w:t>t</w:t>
      </w:r>
      <w:r w:rsidRPr="00586CF4">
        <w:rPr>
          <w:rFonts w:asciiTheme="majorBidi" w:hAnsiTheme="majorBidi" w:cstheme="majorBidi"/>
          <w:i/>
          <w:sz w:val="24"/>
          <w:szCs w:val="24"/>
        </w:rPr>
        <w:t>aux de scolarisation pour les besoins</w:t>
      </w:r>
      <w:r w:rsidR="00531814">
        <w:rPr>
          <w:rFonts w:asciiTheme="majorBidi" w:hAnsiTheme="majorBidi" w:cstheme="majorBidi"/>
          <w:i/>
          <w:sz w:val="24"/>
          <w:szCs w:val="24"/>
        </w:rPr>
        <w:t xml:space="preserve"> en éducation, taux de couverture vaccinale</w:t>
      </w:r>
      <w:r w:rsidRPr="00586CF4">
        <w:rPr>
          <w:rFonts w:asciiTheme="majorBidi" w:hAnsiTheme="majorBidi" w:cstheme="majorBidi"/>
          <w:i/>
          <w:sz w:val="24"/>
          <w:szCs w:val="24"/>
        </w:rPr>
        <w:t xml:space="preserve"> pour les besoins du système sanitaire, taux d’accès à l’eau potable pour les besoins en forages, </w:t>
      </w:r>
      <w:r w:rsidR="00D11A95">
        <w:rPr>
          <w:rFonts w:asciiTheme="majorBidi" w:hAnsiTheme="majorBidi" w:cstheme="majorBidi"/>
          <w:i/>
          <w:sz w:val="24"/>
          <w:szCs w:val="24"/>
        </w:rPr>
        <w:t>taux d’accès à l’électricité</w:t>
      </w:r>
      <w:r w:rsidR="00C7335B">
        <w:rPr>
          <w:rFonts w:asciiTheme="majorBidi" w:hAnsiTheme="majorBidi" w:cstheme="majorBidi"/>
          <w:i/>
          <w:sz w:val="24"/>
          <w:szCs w:val="24"/>
        </w:rPr>
        <w:t xml:space="preserve"> pour les besoins en électrification</w:t>
      </w:r>
      <w:r w:rsidR="00D11A95">
        <w:rPr>
          <w:rFonts w:asciiTheme="majorBidi" w:hAnsiTheme="majorBidi" w:cstheme="majorBidi"/>
          <w:i/>
          <w:sz w:val="24"/>
          <w:szCs w:val="24"/>
        </w:rPr>
        <w:t>,</w:t>
      </w:r>
      <w:r w:rsidR="00535245">
        <w:rPr>
          <w:rFonts w:asciiTheme="majorBidi" w:hAnsiTheme="majorBidi" w:cstheme="majorBidi"/>
          <w:i/>
          <w:sz w:val="24"/>
          <w:szCs w:val="24"/>
        </w:rPr>
        <w:t xml:space="preserve"> p</w:t>
      </w:r>
      <w:r w:rsidR="00203D70">
        <w:rPr>
          <w:rFonts w:asciiTheme="majorBidi" w:hAnsiTheme="majorBidi" w:cstheme="majorBidi"/>
          <w:i/>
          <w:sz w:val="24"/>
          <w:szCs w:val="24"/>
        </w:rPr>
        <w:t>oids démographique des communes</w:t>
      </w:r>
      <w:r w:rsidR="00C7335B">
        <w:rPr>
          <w:rFonts w:asciiTheme="majorBidi" w:hAnsiTheme="majorBidi" w:cstheme="majorBidi"/>
          <w:i/>
          <w:sz w:val="24"/>
          <w:szCs w:val="24"/>
        </w:rPr>
        <w:t xml:space="preserve"> pour capter de façon générale l’ampleur des besoins dans les communes</w:t>
      </w:r>
      <w:r>
        <w:rPr>
          <w:rFonts w:asciiTheme="majorBidi" w:hAnsiTheme="majorBidi" w:cstheme="majorBidi"/>
          <w:sz w:val="24"/>
          <w:szCs w:val="24"/>
        </w:rPr>
        <w:t xml:space="preserve">). </w:t>
      </w:r>
    </w:p>
    <w:p w:rsidR="00A957FC" w:rsidRPr="00FD190E" w:rsidRDefault="00E74AD0" w:rsidP="00FD190E">
      <w:pPr>
        <w:spacing w:line="360" w:lineRule="auto"/>
        <w:jc w:val="center"/>
        <w:rPr>
          <w:rFonts w:asciiTheme="majorBidi" w:hAnsiTheme="majorBidi" w:cstheme="majorBidi"/>
          <w:b/>
          <w:sz w:val="24"/>
          <w:szCs w:val="24"/>
        </w:rPr>
      </w:pPr>
      <w:r>
        <w:rPr>
          <w:rFonts w:asciiTheme="majorBidi" w:hAnsiTheme="majorBidi" w:cstheme="majorBidi"/>
          <w:b/>
          <w:sz w:val="24"/>
          <w:szCs w:val="24"/>
        </w:rPr>
        <w:t>T</w:t>
      </w:r>
      <w:r w:rsidR="00063E81" w:rsidRPr="00FD190E">
        <w:rPr>
          <w:rFonts w:asciiTheme="majorBidi" w:hAnsiTheme="majorBidi" w:cstheme="majorBidi"/>
          <w:b/>
          <w:sz w:val="24"/>
          <w:szCs w:val="24"/>
        </w:rPr>
        <w:t>ableau</w:t>
      </w:r>
      <w:r w:rsidR="00FD190E" w:rsidRPr="00FD190E">
        <w:rPr>
          <w:rFonts w:asciiTheme="majorBidi" w:hAnsiTheme="majorBidi" w:cstheme="majorBidi"/>
          <w:b/>
          <w:sz w:val="24"/>
          <w:szCs w:val="24"/>
        </w:rPr>
        <w:t xml:space="preserve"> 1 Indicateurs de développement local</w:t>
      </w:r>
      <w:r w:rsidR="00EA2A3B">
        <w:rPr>
          <w:rFonts w:asciiTheme="majorBidi" w:hAnsiTheme="majorBidi" w:cstheme="majorBidi"/>
          <w:b/>
          <w:sz w:val="24"/>
          <w:szCs w:val="24"/>
        </w:rPr>
        <w:t xml:space="preserve"> élaborés pour</w:t>
      </w:r>
      <w:r w:rsidR="00FD190E" w:rsidRPr="00FD190E">
        <w:rPr>
          <w:rFonts w:asciiTheme="majorBidi" w:hAnsiTheme="majorBidi" w:cstheme="majorBidi"/>
          <w:b/>
          <w:sz w:val="24"/>
          <w:szCs w:val="24"/>
        </w:rPr>
        <w:t xml:space="preserve"> le modèle</w:t>
      </w:r>
    </w:p>
    <w:tbl>
      <w:tblPr>
        <w:tblStyle w:val="TableauGrille1Clair"/>
        <w:tblW w:w="10186" w:type="dxa"/>
        <w:jc w:val="center"/>
        <w:tblLook w:val="04A0" w:firstRow="1" w:lastRow="0" w:firstColumn="1" w:lastColumn="0" w:noHBand="0" w:noVBand="1"/>
      </w:tblPr>
      <w:tblGrid>
        <w:gridCol w:w="3807"/>
        <w:gridCol w:w="1843"/>
        <w:gridCol w:w="2268"/>
        <w:gridCol w:w="2268"/>
      </w:tblGrid>
      <w:tr w:rsidR="008C023B" w:rsidTr="008C02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07" w:type="dxa"/>
            <w:vAlign w:val="center"/>
          </w:tcPr>
          <w:p w:rsidR="008C023B" w:rsidRDefault="008C023B" w:rsidP="008C023B">
            <w:pPr>
              <w:spacing w:after="0" w:line="240" w:lineRule="auto"/>
              <w:jc w:val="center"/>
              <w:rPr>
                <w:rFonts w:asciiTheme="majorBidi" w:hAnsiTheme="majorBidi" w:cstheme="majorBidi"/>
                <w:sz w:val="24"/>
                <w:szCs w:val="24"/>
              </w:rPr>
            </w:pPr>
            <w:r>
              <w:rPr>
                <w:rFonts w:asciiTheme="majorBidi" w:hAnsiTheme="majorBidi" w:cstheme="majorBidi"/>
                <w:sz w:val="24"/>
                <w:szCs w:val="24"/>
              </w:rPr>
              <w:t>Indicateurs d’analyse</w:t>
            </w:r>
          </w:p>
        </w:tc>
        <w:tc>
          <w:tcPr>
            <w:tcW w:w="1843" w:type="dxa"/>
            <w:vAlign w:val="center"/>
          </w:tcPr>
          <w:p w:rsidR="008C023B" w:rsidRDefault="008C023B" w:rsidP="008C023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Type de variable</w:t>
            </w:r>
          </w:p>
        </w:tc>
        <w:tc>
          <w:tcPr>
            <w:tcW w:w="2268" w:type="dxa"/>
            <w:vAlign w:val="center"/>
          </w:tcPr>
          <w:p w:rsidR="008C023B" w:rsidRDefault="008C023B" w:rsidP="008C023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Rôle de la variable dans le modèle</w:t>
            </w:r>
          </w:p>
        </w:tc>
        <w:tc>
          <w:tcPr>
            <w:tcW w:w="2268" w:type="dxa"/>
          </w:tcPr>
          <w:p w:rsidR="008C023B" w:rsidRDefault="00710627" w:rsidP="008C023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Source des données</w:t>
            </w:r>
            <w:r w:rsidR="008C023B">
              <w:rPr>
                <w:rFonts w:asciiTheme="majorBidi" w:hAnsiTheme="majorBidi" w:cstheme="majorBidi"/>
                <w:sz w:val="24"/>
                <w:szCs w:val="24"/>
              </w:rPr>
              <w:t xml:space="preserve"> utilisées</w:t>
            </w:r>
          </w:p>
        </w:tc>
      </w:tr>
      <w:tr w:rsidR="008C023B" w:rsidTr="0007448C">
        <w:trPr>
          <w:jc w:val="center"/>
        </w:trPr>
        <w:tc>
          <w:tcPr>
            <w:cnfStyle w:val="001000000000" w:firstRow="0" w:lastRow="0" w:firstColumn="1" w:lastColumn="0" w:oddVBand="0" w:evenVBand="0" w:oddHBand="0" w:evenHBand="0" w:firstRowFirstColumn="0" w:firstRowLastColumn="0" w:lastRowFirstColumn="0" w:lastRowLastColumn="0"/>
            <w:tcW w:w="3807" w:type="dxa"/>
            <w:vAlign w:val="center"/>
          </w:tcPr>
          <w:p w:rsidR="008C023B" w:rsidRPr="008C023B" w:rsidRDefault="008C023B" w:rsidP="0007448C">
            <w:pPr>
              <w:spacing w:after="0" w:line="240" w:lineRule="auto"/>
              <w:rPr>
                <w:rFonts w:asciiTheme="majorBidi" w:hAnsiTheme="majorBidi" w:cstheme="majorBidi"/>
                <w:b w:val="0"/>
                <w:sz w:val="24"/>
                <w:szCs w:val="24"/>
              </w:rPr>
            </w:pPr>
            <w:r w:rsidRPr="008C023B">
              <w:rPr>
                <w:rFonts w:asciiTheme="majorBidi" w:hAnsiTheme="majorBidi" w:cstheme="majorBidi"/>
                <w:b w:val="0"/>
                <w:sz w:val="24"/>
                <w:szCs w:val="24"/>
              </w:rPr>
              <w:t>Ressources</w:t>
            </w:r>
            <w:r w:rsidR="0007448C">
              <w:rPr>
                <w:rFonts w:asciiTheme="majorBidi" w:hAnsiTheme="majorBidi" w:cstheme="majorBidi"/>
                <w:b w:val="0"/>
                <w:sz w:val="24"/>
                <w:szCs w:val="24"/>
              </w:rPr>
              <w:t xml:space="preserve"> d’Investissement</w:t>
            </w:r>
            <w:r w:rsidRPr="008C023B">
              <w:rPr>
                <w:rFonts w:asciiTheme="majorBidi" w:hAnsiTheme="majorBidi" w:cstheme="majorBidi"/>
                <w:b w:val="0"/>
                <w:sz w:val="24"/>
                <w:szCs w:val="24"/>
              </w:rPr>
              <w:t xml:space="preserve"> du BIP</w:t>
            </w:r>
          </w:p>
        </w:tc>
        <w:tc>
          <w:tcPr>
            <w:tcW w:w="1843" w:type="dxa"/>
            <w:vMerge w:val="restart"/>
            <w:vAlign w:val="center"/>
          </w:tcPr>
          <w:p w:rsidR="008C023B" w:rsidRDefault="008C023B"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Quantitative continue</w:t>
            </w:r>
          </w:p>
        </w:tc>
        <w:tc>
          <w:tcPr>
            <w:tcW w:w="2268" w:type="dxa"/>
            <w:vAlign w:val="center"/>
          </w:tcPr>
          <w:p w:rsidR="008C023B" w:rsidRDefault="008C023B"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Variable dépendante</w:t>
            </w:r>
          </w:p>
        </w:tc>
        <w:tc>
          <w:tcPr>
            <w:tcW w:w="2268" w:type="dxa"/>
            <w:vAlign w:val="center"/>
          </w:tcPr>
          <w:p w:rsidR="006078B7" w:rsidRDefault="00142B2B"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MINEPAT</w:t>
            </w:r>
            <w:r w:rsidR="006078B7">
              <w:rPr>
                <w:rFonts w:asciiTheme="majorBidi" w:hAnsiTheme="majorBidi" w:cstheme="majorBidi"/>
                <w:sz w:val="24"/>
                <w:szCs w:val="24"/>
              </w:rPr>
              <w:t xml:space="preserve"> </w:t>
            </w:r>
          </w:p>
          <w:p w:rsidR="008C023B" w:rsidRDefault="006078B7"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BIP 2015-2017</w:t>
            </w:r>
          </w:p>
        </w:tc>
      </w:tr>
      <w:tr w:rsidR="004F1C2F" w:rsidTr="008C023B">
        <w:trPr>
          <w:jc w:val="center"/>
        </w:trPr>
        <w:tc>
          <w:tcPr>
            <w:cnfStyle w:val="001000000000" w:firstRow="0" w:lastRow="0" w:firstColumn="1" w:lastColumn="0" w:oddVBand="0" w:evenVBand="0" w:oddHBand="0" w:evenHBand="0" w:firstRowFirstColumn="0" w:firstRowLastColumn="0" w:lastRowFirstColumn="0" w:lastRowLastColumn="0"/>
            <w:tcW w:w="3807" w:type="dxa"/>
          </w:tcPr>
          <w:p w:rsidR="004F1C2F" w:rsidRPr="000B4BC9" w:rsidRDefault="004F1C2F" w:rsidP="008C023B">
            <w:pPr>
              <w:spacing w:after="0" w:line="240" w:lineRule="auto"/>
              <w:jc w:val="both"/>
              <w:rPr>
                <w:rFonts w:asciiTheme="majorBidi" w:hAnsiTheme="majorBidi" w:cstheme="majorBidi"/>
                <w:b w:val="0"/>
                <w:sz w:val="24"/>
                <w:szCs w:val="24"/>
              </w:rPr>
            </w:pPr>
            <w:r w:rsidRPr="000B4BC9">
              <w:rPr>
                <w:rFonts w:asciiTheme="majorBidi" w:hAnsiTheme="majorBidi" w:cstheme="majorBidi"/>
                <w:b w:val="0"/>
                <w:sz w:val="24"/>
                <w:szCs w:val="24"/>
              </w:rPr>
              <w:t>Poids démographique</w:t>
            </w:r>
          </w:p>
        </w:tc>
        <w:tc>
          <w:tcPr>
            <w:tcW w:w="1843" w:type="dxa"/>
            <w:vMerge/>
            <w:vAlign w:val="center"/>
          </w:tcPr>
          <w:p w:rsidR="004F1C2F" w:rsidRDefault="004F1C2F"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268" w:type="dxa"/>
            <w:vMerge w:val="restart"/>
            <w:vAlign w:val="center"/>
          </w:tcPr>
          <w:p w:rsidR="004F1C2F" w:rsidRDefault="004F1C2F" w:rsidP="004F1C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Variable explicative</w:t>
            </w:r>
          </w:p>
        </w:tc>
        <w:tc>
          <w:tcPr>
            <w:tcW w:w="2268" w:type="dxa"/>
          </w:tcPr>
          <w:p w:rsidR="004F1C2F" w:rsidRDefault="004F1C2F"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RGPH 2005</w:t>
            </w:r>
          </w:p>
        </w:tc>
      </w:tr>
      <w:tr w:rsidR="004F1C2F" w:rsidTr="008C023B">
        <w:trPr>
          <w:trHeight w:val="57"/>
          <w:jc w:val="center"/>
        </w:trPr>
        <w:tc>
          <w:tcPr>
            <w:cnfStyle w:val="001000000000" w:firstRow="0" w:lastRow="0" w:firstColumn="1" w:lastColumn="0" w:oddVBand="0" w:evenVBand="0" w:oddHBand="0" w:evenHBand="0" w:firstRowFirstColumn="0" w:firstRowLastColumn="0" w:lastRowFirstColumn="0" w:lastRowLastColumn="0"/>
            <w:tcW w:w="3807" w:type="dxa"/>
          </w:tcPr>
          <w:p w:rsidR="004F1C2F" w:rsidRPr="000B4BC9" w:rsidRDefault="004F1C2F" w:rsidP="008C023B">
            <w:pPr>
              <w:spacing w:after="0" w:line="240" w:lineRule="auto"/>
              <w:jc w:val="both"/>
              <w:rPr>
                <w:rFonts w:asciiTheme="majorBidi" w:hAnsiTheme="majorBidi" w:cstheme="majorBidi"/>
                <w:b w:val="0"/>
                <w:sz w:val="24"/>
                <w:szCs w:val="24"/>
              </w:rPr>
            </w:pPr>
            <w:r w:rsidRPr="000B4BC9">
              <w:rPr>
                <w:rFonts w:asciiTheme="majorBidi" w:hAnsiTheme="majorBidi" w:cstheme="majorBidi"/>
                <w:b w:val="0"/>
                <w:sz w:val="24"/>
                <w:szCs w:val="24"/>
              </w:rPr>
              <w:t>Taux de scolarisation</w:t>
            </w:r>
          </w:p>
        </w:tc>
        <w:tc>
          <w:tcPr>
            <w:tcW w:w="1843" w:type="dxa"/>
            <w:vMerge/>
            <w:vAlign w:val="center"/>
          </w:tcPr>
          <w:p w:rsidR="004F1C2F" w:rsidRDefault="004F1C2F"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268" w:type="dxa"/>
            <w:vMerge/>
            <w:vAlign w:val="center"/>
          </w:tcPr>
          <w:p w:rsidR="004F1C2F" w:rsidRDefault="004F1C2F"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268" w:type="dxa"/>
          </w:tcPr>
          <w:p w:rsidR="004F1C2F" w:rsidRDefault="004F1C2F"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EDS 2011</w:t>
            </w:r>
          </w:p>
        </w:tc>
      </w:tr>
      <w:tr w:rsidR="004F1C2F" w:rsidTr="008C023B">
        <w:trPr>
          <w:jc w:val="center"/>
        </w:trPr>
        <w:tc>
          <w:tcPr>
            <w:cnfStyle w:val="001000000000" w:firstRow="0" w:lastRow="0" w:firstColumn="1" w:lastColumn="0" w:oddVBand="0" w:evenVBand="0" w:oddHBand="0" w:evenHBand="0" w:firstRowFirstColumn="0" w:firstRowLastColumn="0" w:lastRowFirstColumn="0" w:lastRowLastColumn="0"/>
            <w:tcW w:w="3807" w:type="dxa"/>
          </w:tcPr>
          <w:p w:rsidR="004F1C2F" w:rsidRPr="000B4BC9" w:rsidRDefault="004F1C2F" w:rsidP="008C023B">
            <w:pPr>
              <w:spacing w:after="0" w:line="240" w:lineRule="auto"/>
              <w:jc w:val="both"/>
              <w:rPr>
                <w:rFonts w:asciiTheme="majorBidi" w:hAnsiTheme="majorBidi" w:cstheme="majorBidi"/>
                <w:b w:val="0"/>
                <w:sz w:val="24"/>
                <w:szCs w:val="24"/>
              </w:rPr>
            </w:pPr>
            <w:r>
              <w:rPr>
                <w:rFonts w:asciiTheme="majorBidi" w:hAnsiTheme="majorBidi" w:cstheme="majorBidi"/>
                <w:b w:val="0"/>
                <w:sz w:val="24"/>
                <w:szCs w:val="24"/>
              </w:rPr>
              <w:t>Taux de couverture vaccinale des enfants de moins de 5 ans</w:t>
            </w:r>
          </w:p>
        </w:tc>
        <w:tc>
          <w:tcPr>
            <w:tcW w:w="1843" w:type="dxa"/>
            <w:vMerge/>
            <w:vAlign w:val="center"/>
          </w:tcPr>
          <w:p w:rsidR="004F1C2F" w:rsidRDefault="004F1C2F"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268" w:type="dxa"/>
            <w:vMerge/>
            <w:vAlign w:val="center"/>
          </w:tcPr>
          <w:p w:rsidR="004F1C2F" w:rsidRDefault="004F1C2F"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268" w:type="dxa"/>
            <w:vAlign w:val="center"/>
          </w:tcPr>
          <w:p w:rsidR="004F1C2F" w:rsidRDefault="004F1C2F"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EDS 2011</w:t>
            </w:r>
          </w:p>
        </w:tc>
      </w:tr>
      <w:tr w:rsidR="004F1C2F" w:rsidTr="008C023B">
        <w:trPr>
          <w:jc w:val="center"/>
        </w:trPr>
        <w:tc>
          <w:tcPr>
            <w:cnfStyle w:val="001000000000" w:firstRow="0" w:lastRow="0" w:firstColumn="1" w:lastColumn="0" w:oddVBand="0" w:evenVBand="0" w:oddHBand="0" w:evenHBand="0" w:firstRowFirstColumn="0" w:firstRowLastColumn="0" w:lastRowFirstColumn="0" w:lastRowLastColumn="0"/>
            <w:tcW w:w="3807" w:type="dxa"/>
          </w:tcPr>
          <w:p w:rsidR="004F1C2F" w:rsidRPr="000B4BC9" w:rsidRDefault="004F1C2F" w:rsidP="008C023B">
            <w:pPr>
              <w:spacing w:after="0" w:line="240" w:lineRule="auto"/>
              <w:jc w:val="both"/>
              <w:rPr>
                <w:rFonts w:asciiTheme="majorBidi" w:hAnsiTheme="majorBidi" w:cstheme="majorBidi"/>
                <w:b w:val="0"/>
                <w:sz w:val="24"/>
                <w:szCs w:val="24"/>
              </w:rPr>
            </w:pPr>
            <w:r w:rsidRPr="000B4BC9">
              <w:rPr>
                <w:rFonts w:asciiTheme="majorBidi" w:hAnsiTheme="majorBidi" w:cstheme="majorBidi"/>
                <w:b w:val="0"/>
                <w:sz w:val="24"/>
                <w:szCs w:val="24"/>
              </w:rPr>
              <w:t>Taux d’accès à l’eau potable</w:t>
            </w:r>
          </w:p>
        </w:tc>
        <w:tc>
          <w:tcPr>
            <w:tcW w:w="1843" w:type="dxa"/>
            <w:vMerge/>
            <w:vAlign w:val="center"/>
          </w:tcPr>
          <w:p w:rsidR="004F1C2F" w:rsidRDefault="004F1C2F"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268" w:type="dxa"/>
            <w:vMerge/>
            <w:vAlign w:val="center"/>
          </w:tcPr>
          <w:p w:rsidR="004F1C2F" w:rsidRDefault="004F1C2F"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268" w:type="dxa"/>
          </w:tcPr>
          <w:p w:rsidR="004F1C2F" w:rsidRDefault="004F1C2F"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EDS 2011</w:t>
            </w:r>
          </w:p>
        </w:tc>
      </w:tr>
      <w:tr w:rsidR="004F1C2F" w:rsidTr="008C023B">
        <w:trPr>
          <w:jc w:val="center"/>
        </w:trPr>
        <w:tc>
          <w:tcPr>
            <w:cnfStyle w:val="001000000000" w:firstRow="0" w:lastRow="0" w:firstColumn="1" w:lastColumn="0" w:oddVBand="0" w:evenVBand="0" w:oddHBand="0" w:evenHBand="0" w:firstRowFirstColumn="0" w:firstRowLastColumn="0" w:lastRowFirstColumn="0" w:lastRowLastColumn="0"/>
            <w:tcW w:w="3807" w:type="dxa"/>
          </w:tcPr>
          <w:p w:rsidR="004F1C2F" w:rsidRPr="000B4BC9" w:rsidRDefault="004F1C2F" w:rsidP="008C023B">
            <w:pPr>
              <w:spacing w:after="0" w:line="240" w:lineRule="auto"/>
              <w:jc w:val="both"/>
              <w:rPr>
                <w:rFonts w:asciiTheme="majorBidi" w:hAnsiTheme="majorBidi" w:cstheme="majorBidi"/>
                <w:b w:val="0"/>
                <w:sz w:val="24"/>
                <w:szCs w:val="24"/>
              </w:rPr>
            </w:pPr>
            <w:r w:rsidRPr="000B4BC9">
              <w:rPr>
                <w:rFonts w:asciiTheme="majorBidi" w:hAnsiTheme="majorBidi" w:cstheme="majorBidi"/>
                <w:b w:val="0"/>
                <w:sz w:val="24"/>
                <w:szCs w:val="24"/>
              </w:rPr>
              <w:t>Taux d’accès à l’électricité</w:t>
            </w:r>
          </w:p>
        </w:tc>
        <w:tc>
          <w:tcPr>
            <w:tcW w:w="1843" w:type="dxa"/>
            <w:vMerge/>
            <w:vAlign w:val="center"/>
          </w:tcPr>
          <w:p w:rsidR="004F1C2F" w:rsidRDefault="004F1C2F"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268" w:type="dxa"/>
            <w:vMerge/>
            <w:vAlign w:val="center"/>
          </w:tcPr>
          <w:p w:rsidR="004F1C2F" w:rsidRDefault="004F1C2F"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268" w:type="dxa"/>
          </w:tcPr>
          <w:p w:rsidR="004F1C2F" w:rsidRDefault="004F1C2F" w:rsidP="008C0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EDS 2011</w:t>
            </w:r>
          </w:p>
        </w:tc>
      </w:tr>
    </w:tbl>
    <w:p w:rsidR="0049676E" w:rsidRDefault="0049676E" w:rsidP="001729DE">
      <w:pPr>
        <w:spacing w:before="240" w:line="360" w:lineRule="auto"/>
        <w:jc w:val="both"/>
        <w:rPr>
          <w:rFonts w:asciiTheme="majorBidi" w:hAnsiTheme="majorBidi" w:cstheme="majorBidi"/>
          <w:sz w:val="24"/>
          <w:szCs w:val="24"/>
        </w:rPr>
      </w:pPr>
      <w:r>
        <w:rPr>
          <w:rFonts w:asciiTheme="majorBidi" w:hAnsiTheme="majorBidi" w:cstheme="majorBidi"/>
          <w:sz w:val="24"/>
          <w:szCs w:val="24"/>
        </w:rPr>
        <w:t>Le</w:t>
      </w:r>
      <w:r w:rsidR="00882A41">
        <w:rPr>
          <w:rFonts w:asciiTheme="majorBidi" w:hAnsiTheme="majorBidi" w:cstheme="majorBidi"/>
          <w:sz w:val="24"/>
          <w:szCs w:val="24"/>
        </w:rPr>
        <w:t>s</w:t>
      </w:r>
      <w:r>
        <w:rPr>
          <w:rFonts w:asciiTheme="majorBidi" w:hAnsiTheme="majorBidi" w:cstheme="majorBidi"/>
          <w:sz w:val="24"/>
          <w:szCs w:val="24"/>
        </w:rPr>
        <w:t xml:space="preserve"> poids démographique</w:t>
      </w:r>
      <w:r w:rsidR="00882A41">
        <w:rPr>
          <w:rFonts w:asciiTheme="majorBidi" w:hAnsiTheme="majorBidi" w:cstheme="majorBidi"/>
          <w:sz w:val="24"/>
          <w:szCs w:val="24"/>
        </w:rPr>
        <w:t>s par commune son</w:t>
      </w:r>
      <w:r>
        <w:rPr>
          <w:rFonts w:asciiTheme="majorBidi" w:hAnsiTheme="majorBidi" w:cstheme="majorBidi"/>
          <w:sz w:val="24"/>
          <w:szCs w:val="24"/>
        </w:rPr>
        <w:t xml:space="preserve">t </w:t>
      </w:r>
      <w:r w:rsidR="00E54CE8">
        <w:rPr>
          <w:rFonts w:asciiTheme="majorBidi" w:hAnsiTheme="majorBidi" w:cstheme="majorBidi"/>
          <w:sz w:val="24"/>
          <w:szCs w:val="24"/>
        </w:rPr>
        <w:t>calculé</w:t>
      </w:r>
      <w:r w:rsidR="00882A41">
        <w:rPr>
          <w:rFonts w:asciiTheme="majorBidi" w:hAnsiTheme="majorBidi" w:cstheme="majorBidi"/>
          <w:sz w:val="24"/>
          <w:szCs w:val="24"/>
        </w:rPr>
        <w:t>s</w:t>
      </w:r>
      <w:r w:rsidR="00E54CE8">
        <w:rPr>
          <w:rFonts w:asciiTheme="majorBidi" w:hAnsiTheme="majorBidi" w:cstheme="majorBidi"/>
          <w:sz w:val="24"/>
          <w:szCs w:val="24"/>
        </w:rPr>
        <w:t xml:space="preserve"> sur la base des données</w:t>
      </w:r>
      <w:r w:rsidR="00BD19F4">
        <w:rPr>
          <w:rFonts w:asciiTheme="majorBidi" w:hAnsiTheme="majorBidi" w:cstheme="majorBidi"/>
          <w:sz w:val="24"/>
          <w:szCs w:val="24"/>
        </w:rPr>
        <w:t xml:space="preserve"> </w:t>
      </w:r>
      <w:r w:rsidR="00E54CE8">
        <w:rPr>
          <w:rFonts w:asciiTheme="majorBidi" w:hAnsiTheme="majorBidi" w:cstheme="majorBidi"/>
          <w:sz w:val="24"/>
          <w:szCs w:val="24"/>
        </w:rPr>
        <w:t xml:space="preserve">du </w:t>
      </w:r>
      <w:r w:rsidR="00A52EAE">
        <w:rPr>
          <w:rFonts w:asciiTheme="majorBidi" w:hAnsiTheme="majorBidi" w:cstheme="majorBidi"/>
          <w:sz w:val="24"/>
          <w:szCs w:val="24"/>
        </w:rPr>
        <w:t>Recensement Général de la Population et de l’Habitat (RGPH)</w:t>
      </w:r>
      <w:r>
        <w:rPr>
          <w:rFonts w:asciiTheme="majorBidi" w:hAnsiTheme="majorBidi" w:cstheme="majorBidi"/>
          <w:sz w:val="24"/>
          <w:szCs w:val="24"/>
        </w:rPr>
        <w:t xml:space="preserve"> de 2005. </w:t>
      </w:r>
      <w:r w:rsidR="001729DE">
        <w:rPr>
          <w:rFonts w:asciiTheme="majorBidi" w:hAnsiTheme="majorBidi" w:cstheme="majorBidi"/>
          <w:sz w:val="24"/>
          <w:szCs w:val="24"/>
        </w:rPr>
        <w:t>L</w:t>
      </w:r>
      <w:r w:rsidR="00F230B3">
        <w:rPr>
          <w:rFonts w:asciiTheme="majorBidi" w:hAnsiTheme="majorBidi" w:cstheme="majorBidi"/>
          <w:sz w:val="24"/>
          <w:szCs w:val="24"/>
        </w:rPr>
        <w:t>es</w:t>
      </w:r>
      <w:r w:rsidR="0060342A">
        <w:rPr>
          <w:rFonts w:asciiTheme="majorBidi" w:hAnsiTheme="majorBidi" w:cstheme="majorBidi"/>
          <w:sz w:val="24"/>
          <w:szCs w:val="24"/>
        </w:rPr>
        <w:t xml:space="preserve"> données sur la répartition de la population par région d’après les résultats des RGPH 1987 et RGPH 2005 (BUCREP, 2010)</w:t>
      </w:r>
      <w:r w:rsidR="00C21DBE">
        <w:rPr>
          <w:rFonts w:asciiTheme="majorBidi" w:hAnsiTheme="majorBidi" w:cstheme="majorBidi"/>
          <w:sz w:val="24"/>
          <w:szCs w:val="24"/>
        </w:rPr>
        <w:t xml:space="preserve"> permettent d’obtenir les</w:t>
      </w:r>
      <w:r>
        <w:rPr>
          <w:rFonts w:asciiTheme="majorBidi" w:hAnsiTheme="majorBidi" w:cstheme="majorBidi"/>
          <w:sz w:val="24"/>
          <w:szCs w:val="24"/>
        </w:rPr>
        <w:t xml:space="preserve"> taux de croissance </w:t>
      </w:r>
      <w:r w:rsidR="00F230B3">
        <w:rPr>
          <w:rFonts w:asciiTheme="majorBidi" w:hAnsiTheme="majorBidi" w:cstheme="majorBidi"/>
          <w:sz w:val="24"/>
          <w:szCs w:val="24"/>
        </w:rPr>
        <w:t>d</w:t>
      </w:r>
      <w:r w:rsidR="00C21DBE">
        <w:rPr>
          <w:rFonts w:asciiTheme="majorBidi" w:hAnsiTheme="majorBidi" w:cstheme="majorBidi"/>
          <w:sz w:val="24"/>
          <w:szCs w:val="24"/>
        </w:rPr>
        <w:t xml:space="preserve">émographiques </w:t>
      </w:r>
      <w:r w:rsidR="0060342A">
        <w:rPr>
          <w:rFonts w:asciiTheme="majorBidi" w:hAnsiTheme="majorBidi" w:cstheme="majorBidi"/>
          <w:sz w:val="24"/>
          <w:szCs w:val="24"/>
        </w:rPr>
        <w:t>par région</w:t>
      </w:r>
      <w:r w:rsidR="00C21DBE">
        <w:rPr>
          <w:rFonts w:asciiTheme="majorBidi" w:hAnsiTheme="majorBidi" w:cstheme="majorBidi"/>
          <w:sz w:val="24"/>
          <w:szCs w:val="24"/>
        </w:rPr>
        <w:t xml:space="preserve">. L’on en déduit les projections des effectifs par région permettant </w:t>
      </w:r>
      <w:r>
        <w:rPr>
          <w:rFonts w:asciiTheme="majorBidi" w:hAnsiTheme="majorBidi" w:cstheme="majorBidi"/>
          <w:sz w:val="24"/>
          <w:szCs w:val="24"/>
        </w:rPr>
        <w:t>d’obtenir les poids démographiques en 2016.</w:t>
      </w:r>
    </w:p>
    <w:p w:rsidR="00D82803" w:rsidRDefault="00D82803" w:rsidP="00A52EAE">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Les quatre indicateurs calculés à partir de l’EDS 2011 sont également actualisés pour l’année 2016 en utilisant le taux de croissance de ces indicateurs</w:t>
      </w:r>
      <w:r w:rsidR="00B15EC9">
        <w:rPr>
          <w:rFonts w:asciiTheme="majorBidi" w:hAnsiTheme="majorBidi" w:cstheme="majorBidi"/>
          <w:sz w:val="24"/>
          <w:szCs w:val="24"/>
        </w:rPr>
        <w:t xml:space="preserve"> par région et milieu de résidence</w:t>
      </w:r>
      <w:r>
        <w:rPr>
          <w:rFonts w:asciiTheme="majorBidi" w:hAnsiTheme="majorBidi" w:cstheme="majorBidi"/>
          <w:sz w:val="24"/>
          <w:szCs w:val="24"/>
        </w:rPr>
        <w:t xml:space="preserve"> entre l’EDS 2004 et l’EDS 2011.</w:t>
      </w:r>
      <w:r w:rsidR="00BD19F4">
        <w:rPr>
          <w:rFonts w:asciiTheme="majorBidi" w:hAnsiTheme="majorBidi" w:cstheme="majorBidi"/>
          <w:sz w:val="24"/>
          <w:szCs w:val="24"/>
        </w:rPr>
        <w:t xml:space="preserve"> </w:t>
      </w:r>
    </w:p>
    <w:p w:rsidR="00586CF4" w:rsidRDefault="00A52EAE" w:rsidP="00586CF4">
      <w:pPr>
        <w:spacing w:line="360" w:lineRule="auto"/>
        <w:rPr>
          <w:rFonts w:asciiTheme="majorBidi" w:hAnsiTheme="majorBidi" w:cstheme="majorBidi"/>
          <w:b/>
          <w:bCs/>
          <w:sz w:val="24"/>
          <w:szCs w:val="24"/>
        </w:rPr>
      </w:pPr>
      <w:r w:rsidRPr="000C5524">
        <w:rPr>
          <w:rFonts w:asciiTheme="majorBidi" w:hAnsiTheme="majorBidi" w:cstheme="majorBidi"/>
          <w:b/>
          <w:bCs/>
          <w:sz w:val="24"/>
          <w:szCs w:val="24"/>
        </w:rPr>
        <w:t>2.</w:t>
      </w:r>
      <w:r>
        <w:rPr>
          <w:rFonts w:asciiTheme="majorBidi" w:hAnsiTheme="majorBidi" w:cstheme="majorBidi"/>
          <w:b/>
          <w:bCs/>
          <w:sz w:val="24"/>
          <w:szCs w:val="24"/>
        </w:rPr>
        <w:t>2</w:t>
      </w:r>
      <w:r w:rsidRPr="000C5524">
        <w:rPr>
          <w:rFonts w:asciiTheme="majorBidi" w:hAnsiTheme="majorBidi" w:cstheme="majorBidi"/>
          <w:b/>
          <w:bCs/>
          <w:sz w:val="24"/>
          <w:szCs w:val="24"/>
        </w:rPr>
        <w:t xml:space="preserve"> Modélisation de l</w:t>
      </w:r>
      <w:r>
        <w:rPr>
          <w:rFonts w:asciiTheme="majorBidi" w:hAnsiTheme="majorBidi" w:cstheme="majorBidi"/>
          <w:b/>
          <w:bCs/>
          <w:sz w:val="24"/>
          <w:szCs w:val="24"/>
        </w:rPr>
        <w:t xml:space="preserve">a répartition </w:t>
      </w:r>
      <w:r w:rsidRPr="00A26254">
        <w:rPr>
          <w:rFonts w:asciiTheme="majorBidi" w:hAnsiTheme="majorBidi" w:cstheme="majorBidi"/>
          <w:b/>
          <w:bCs/>
          <w:sz w:val="24"/>
          <w:szCs w:val="24"/>
        </w:rPr>
        <w:t>des RI entre les communes</w:t>
      </w:r>
    </w:p>
    <w:p w:rsidR="00586CF4" w:rsidRDefault="00586CF4" w:rsidP="00586CF4">
      <w:pPr>
        <w:spacing w:line="360" w:lineRule="auto"/>
        <w:jc w:val="both"/>
        <w:rPr>
          <w:rStyle w:val="fontstyle01"/>
        </w:rPr>
      </w:pPr>
      <w:r>
        <w:rPr>
          <w:rStyle w:val="fontstyle01"/>
        </w:rPr>
        <w:t xml:space="preserve">Le modèle utilisé pour la construction de l’IRE est basé sur l’analyse de la variance. </w:t>
      </w:r>
      <w:r w:rsidR="006A1460">
        <w:rPr>
          <w:rStyle w:val="fontstyle01"/>
        </w:rPr>
        <w:t xml:space="preserve">L’on peut noter que les </w:t>
      </w:r>
      <w:r>
        <w:rPr>
          <w:rStyle w:val="fontstyle01"/>
        </w:rPr>
        <w:t>travaux réalisés</w:t>
      </w:r>
      <w:r w:rsidR="006A1460">
        <w:rPr>
          <w:rStyle w:val="fontstyle01"/>
        </w:rPr>
        <w:t xml:space="preserve"> </w:t>
      </w:r>
      <w:r>
        <w:rPr>
          <w:rStyle w:val="fontstyle01"/>
        </w:rPr>
        <w:t xml:space="preserve">dans le domaine de la </w:t>
      </w:r>
      <w:r w:rsidR="006A1460">
        <w:rPr>
          <w:rStyle w:val="fontstyle01"/>
        </w:rPr>
        <w:t>répartition équitable</w:t>
      </w:r>
      <w:r>
        <w:rPr>
          <w:rStyle w:val="fontstyle01"/>
        </w:rPr>
        <w:t xml:space="preserve"> des ressources</w:t>
      </w:r>
      <w:r w:rsidR="006A1460">
        <w:rPr>
          <w:rStyle w:val="fontstyle01"/>
        </w:rPr>
        <w:t xml:space="preserve"> utilisent le coefficient de variation et l’indice de Gini comme indicateurs du niveau des inégalités financières entre les collectivités</w:t>
      </w:r>
      <w:r w:rsidR="00412E94">
        <w:rPr>
          <w:rStyle w:val="fontstyle01"/>
        </w:rPr>
        <w:t xml:space="preserve"> dans les pays de l’OCDE (</w:t>
      </w:r>
      <w:proofErr w:type="spellStart"/>
      <w:r w:rsidR="00412E94" w:rsidRPr="00F26B88">
        <w:rPr>
          <w:rStyle w:val="fontstyle01"/>
        </w:rPr>
        <w:t>Blöchliger</w:t>
      </w:r>
      <w:proofErr w:type="spellEnd"/>
      <w:r w:rsidR="00412E94" w:rsidRPr="00F26B88">
        <w:rPr>
          <w:rStyle w:val="fontstyle01"/>
        </w:rPr>
        <w:t xml:space="preserve"> et </w:t>
      </w:r>
      <w:proofErr w:type="spellStart"/>
      <w:r w:rsidR="00412E94" w:rsidRPr="00F26B88">
        <w:rPr>
          <w:rStyle w:val="fontstyle01"/>
        </w:rPr>
        <w:t>Charbit</w:t>
      </w:r>
      <w:proofErr w:type="spellEnd"/>
      <w:r w:rsidR="00CC0EC2">
        <w:rPr>
          <w:rStyle w:val="fontstyle01"/>
        </w:rPr>
        <w:t>, 2008</w:t>
      </w:r>
      <w:r w:rsidR="00412E94">
        <w:rPr>
          <w:rStyle w:val="fontstyle01"/>
        </w:rPr>
        <w:t>)</w:t>
      </w:r>
      <w:r w:rsidR="006A1460">
        <w:rPr>
          <w:rStyle w:val="fontstyle01"/>
        </w:rPr>
        <w:t>. En revanche, ces deux indicateurs restent descriptifs et ne s’intéressent pas à la dimension explicative à travers les facteurs pris en compte dans la répartition des ressources.</w:t>
      </w:r>
      <w:r w:rsidR="00145154">
        <w:rPr>
          <w:rStyle w:val="fontstyle01"/>
        </w:rPr>
        <w:t xml:space="preserve"> L’approche explicative retenue pour cette étude permettra de mettre en rapport la variable budgétaire et les variables liées au</w:t>
      </w:r>
      <w:r w:rsidR="00E3491A">
        <w:rPr>
          <w:rStyle w:val="fontstyle01"/>
        </w:rPr>
        <w:t>x</w:t>
      </w:r>
      <w:r w:rsidR="00145154">
        <w:rPr>
          <w:rStyle w:val="fontstyle01"/>
        </w:rPr>
        <w:t xml:space="preserve"> besoins en matière de développement dans les communes. </w:t>
      </w:r>
      <w:r w:rsidR="006A1460">
        <w:rPr>
          <w:rStyle w:val="fontstyle01"/>
        </w:rPr>
        <w:t xml:space="preserve"> </w:t>
      </w:r>
      <w:r>
        <w:rPr>
          <w:rStyle w:val="fontstyle01"/>
        </w:rPr>
        <w:t xml:space="preserve"> </w:t>
      </w:r>
    </w:p>
    <w:p w:rsidR="00A52EAE" w:rsidRPr="00586CF4" w:rsidRDefault="00795472" w:rsidP="00586CF4">
      <w:pPr>
        <w:spacing w:line="360" w:lineRule="auto"/>
        <w:rPr>
          <w:rFonts w:asciiTheme="majorBidi" w:hAnsiTheme="majorBidi" w:cstheme="majorBidi"/>
          <w:b/>
          <w:bCs/>
          <w:sz w:val="24"/>
          <w:szCs w:val="24"/>
        </w:rPr>
      </w:pPr>
      <w:r>
        <w:rPr>
          <w:rFonts w:asciiTheme="majorBidi" w:eastAsiaTheme="minorEastAsia" w:hAnsiTheme="majorBidi" w:cstheme="majorBidi"/>
          <w:sz w:val="24"/>
          <w:szCs w:val="24"/>
        </w:rPr>
        <w:t>On considère l’équation</w:t>
      </w:r>
      <w:r w:rsidR="00A52EAE">
        <w:rPr>
          <w:rFonts w:asciiTheme="majorBidi" w:eastAsiaTheme="minorEastAsia" w:hAnsiTheme="majorBidi" w:cstheme="majorBidi"/>
          <w:sz w:val="24"/>
          <w:szCs w:val="24"/>
        </w:rPr>
        <w:t xml:space="preserve"> de régression ci-après.</w:t>
      </w:r>
    </w:p>
    <w:p w:rsidR="00A52EAE" w:rsidRDefault="00A75C62" w:rsidP="00A52EAE">
      <w:pPr>
        <w:spacing w:line="360" w:lineRule="auto"/>
        <w:jc w:val="both"/>
        <w:rPr>
          <w:rFonts w:asciiTheme="majorBidi" w:eastAsiaTheme="minorEastAsia" w:hAnsiTheme="majorBidi" w:cstheme="majorBidi"/>
          <w:bCs/>
          <w:sz w:val="24"/>
          <w:szCs w:val="24"/>
        </w:rPr>
      </w:pPr>
      <m:oMath>
        <m:sSub>
          <m:sSubPr>
            <m:ctrlPr>
              <w:rPr>
                <w:rFonts w:ascii="Cambria Math" w:hAnsi="Cambria Math" w:cstheme="majorBidi"/>
                <w:bCs/>
                <w:i/>
                <w:sz w:val="24"/>
                <w:szCs w:val="24"/>
              </w:rPr>
            </m:ctrlPr>
          </m:sSubPr>
          <m:e>
            <m:r>
              <w:rPr>
                <w:rFonts w:ascii="Cambria Math" w:hAnsi="Cambria Math" w:cstheme="majorBidi"/>
                <w:sz w:val="24"/>
                <w:szCs w:val="24"/>
              </w:rPr>
              <m:t>Y</m:t>
            </m:r>
          </m:e>
          <m:sub>
            <m:r>
              <w:rPr>
                <w:rFonts w:ascii="Cambria Math" w:hAnsi="Cambria Math" w:cstheme="majorBidi"/>
                <w:sz w:val="24"/>
                <w:szCs w:val="24"/>
              </w:rPr>
              <m:t>i</m:t>
            </m:r>
          </m:sub>
        </m:sSub>
        <m:r>
          <w:rPr>
            <w:rFonts w:ascii="Cambria Math" w:hAnsi="Cambria Math" w:cstheme="majorBidi"/>
            <w:sz w:val="24"/>
            <w:szCs w:val="24"/>
          </w:rPr>
          <m:t>=</m:t>
        </m:r>
        <m:sSub>
          <m:sSubPr>
            <m:ctrlPr>
              <w:rPr>
                <w:rFonts w:ascii="Cambria Math" w:hAnsi="Cambria Math" w:cstheme="majorBidi"/>
                <w:bCs/>
                <w:i/>
                <w:sz w:val="24"/>
                <w:szCs w:val="24"/>
              </w:rPr>
            </m:ctrlPr>
          </m:sSubPr>
          <m:e>
            <m:r>
              <w:rPr>
                <w:rFonts w:ascii="Cambria Math" w:hAnsi="Cambria Math" w:cstheme="majorBidi"/>
                <w:sz w:val="24"/>
                <w:szCs w:val="24"/>
              </w:rPr>
              <m:t xml:space="preserve"> ∝</m:t>
            </m:r>
          </m:e>
          <m:sub>
            <m:r>
              <w:rPr>
                <w:rFonts w:ascii="Cambria Math" w:hAnsi="Cambria Math" w:cstheme="majorBidi"/>
                <w:sz w:val="24"/>
                <w:szCs w:val="24"/>
              </w:rPr>
              <m:t>j</m:t>
            </m:r>
          </m:sub>
        </m:sSub>
        <m:sSub>
          <m:sSubPr>
            <m:ctrlPr>
              <w:rPr>
                <w:rFonts w:ascii="Cambria Math" w:hAnsi="Cambria Math" w:cstheme="majorBidi"/>
                <w:bCs/>
                <w:i/>
                <w:sz w:val="24"/>
                <w:szCs w:val="24"/>
              </w:rPr>
            </m:ctrlPr>
          </m:sSubPr>
          <m:e>
            <m:r>
              <w:rPr>
                <w:rFonts w:ascii="Cambria Math" w:hAnsi="Cambria Math" w:cstheme="majorBidi"/>
                <w:sz w:val="24"/>
                <w:szCs w:val="24"/>
              </w:rPr>
              <m:t>X</m:t>
            </m:r>
          </m:e>
          <m:sub>
            <m:r>
              <w:rPr>
                <w:rFonts w:ascii="Cambria Math" w:hAnsi="Cambria Math" w:cstheme="majorBidi"/>
                <w:sz w:val="24"/>
                <w:szCs w:val="24"/>
              </w:rPr>
              <m:t>ji</m:t>
            </m:r>
          </m:sub>
        </m:sSub>
        <m:r>
          <w:rPr>
            <w:rFonts w:ascii="Cambria Math" w:hAnsi="Cambria Math" w:cstheme="majorBidi"/>
            <w:sz w:val="24"/>
            <w:szCs w:val="24"/>
          </w:rPr>
          <m:t>+</m:t>
        </m:r>
        <m:sSub>
          <m:sSubPr>
            <m:ctrlPr>
              <w:rPr>
                <w:rFonts w:ascii="Cambria Math" w:hAnsi="Cambria Math" w:cstheme="majorBidi"/>
                <w:bCs/>
                <w:i/>
                <w:sz w:val="24"/>
                <w:szCs w:val="24"/>
              </w:rPr>
            </m:ctrlPr>
          </m:sSubPr>
          <m:e>
            <m:r>
              <w:rPr>
                <w:rFonts w:ascii="Cambria Math" w:hAnsi="Cambria Math" w:cstheme="majorBidi"/>
                <w:sz w:val="24"/>
                <w:szCs w:val="24"/>
              </w:rPr>
              <m:t>ε</m:t>
            </m:r>
          </m:e>
          <m:sub>
            <m:r>
              <w:rPr>
                <w:rFonts w:ascii="Cambria Math" w:hAnsi="Cambria Math" w:cstheme="majorBidi"/>
                <w:sz w:val="24"/>
                <w:szCs w:val="24"/>
              </w:rPr>
              <m:t>i</m:t>
            </m:r>
          </m:sub>
        </m:sSub>
      </m:oMath>
      <w:r w:rsidR="00A52EAE" w:rsidRPr="00C64161">
        <w:rPr>
          <w:rFonts w:asciiTheme="majorBidi" w:eastAsiaTheme="minorEastAsia" w:hAnsiTheme="majorBidi" w:cstheme="majorBidi"/>
          <w:bCs/>
          <w:sz w:val="24"/>
          <w:szCs w:val="24"/>
        </w:rPr>
        <w:t xml:space="preserve">, </w:t>
      </w:r>
      <w:r w:rsidR="006C7298">
        <w:rPr>
          <w:rFonts w:asciiTheme="majorBidi" w:eastAsiaTheme="minorEastAsia" w:hAnsiTheme="majorBidi" w:cstheme="majorBidi"/>
          <w:bCs/>
          <w:sz w:val="24"/>
          <w:szCs w:val="24"/>
        </w:rPr>
        <w:t>i</w:t>
      </w:r>
      <w:r w:rsidR="006C7298" w:rsidRPr="00C64161">
        <w:rPr>
          <w:rFonts w:asciiTheme="majorBidi" w:eastAsiaTheme="minorEastAsia" w:hAnsiTheme="majorBidi" w:cstheme="majorBidi"/>
          <w:bCs/>
          <w:sz w:val="24"/>
          <w:szCs w:val="24"/>
        </w:rPr>
        <w:t xml:space="preserve"> = 1, 2, …, 360</w:t>
      </w:r>
      <w:r w:rsidR="006C7298">
        <w:rPr>
          <w:rFonts w:asciiTheme="majorBidi" w:eastAsiaTheme="minorEastAsia" w:hAnsiTheme="majorBidi" w:cstheme="majorBidi"/>
          <w:bCs/>
          <w:sz w:val="24"/>
          <w:szCs w:val="24"/>
        </w:rPr>
        <w:t xml:space="preserve">, </w:t>
      </w:r>
      <w:r w:rsidR="001C6F9B">
        <w:rPr>
          <w:rFonts w:asciiTheme="majorBidi" w:eastAsiaTheme="minorEastAsia" w:hAnsiTheme="majorBidi" w:cstheme="majorBidi"/>
          <w:bCs/>
          <w:sz w:val="24"/>
          <w:szCs w:val="24"/>
        </w:rPr>
        <w:t>j = 0</w:t>
      </w:r>
      <w:r w:rsidR="00A52EAE" w:rsidRPr="00C64161">
        <w:rPr>
          <w:rFonts w:asciiTheme="majorBidi" w:eastAsiaTheme="minorEastAsia" w:hAnsiTheme="majorBidi" w:cstheme="majorBidi"/>
          <w:bCs/>
          <w:sz w:val="24"/>
          <w:szCs w:val="24"/>
        </w:rPr>
        <w:t xml:space="preserve">, </w:t>
      </w:r>
      <w:r w:rsidR="00D12ED0">
        <w:rPr>
          <w:rFonts w:asciiTheme="majorBidi" w:eastAsiaTheme="minorEastAsia" w:hAnsiTheme="majorBidi" w:cstheme="majorBidi"/>
          <w:bCs/>
          <w:sz w:val="24"/>
          <w:szCs w:val="24"/>
        </w:rPr>
        <w:t>… ,</w:t>
      </w:r>
      <w:r w:rsidR="001C6F9B">
        <w:rPr>
          <w:rFonts w:asciiTheme="majorBidi" w:eastAsiaTheme="minorEastAsia" w:hAnsiTheme="majorBidi" w:cstheme="majorBidi"/>
          <w:bCs/>
          <w:sz w:val="24"/>
          <w:szCs w:val="24"/>
        </w:rPr>
        <w:t>5</w:t>
      </w:r>
      <w:r w:rsidR="00A52EAE" w:rsidRPr="00C64161">
        <w:rPr>
          <w:rFonts w:asciiTheme="majorBidi" w:eastAsiaTheme="minorEastAsia" w:hAnsiTheme="majorBidi" w:cstheme="majorBidi"/>
          <w:bCs/>
          <w:sz w:val="24"/>
          <w:szCs w:val="24"/>
        </w:rPr>
        <w:t xml:space="preserve"> ; </w:t>
      </w:r>
      <w:r w:rsidR="00A52EAE" w:rsidRPr="00E16FA9">
        <w:rPr>
          <w:rFonts w:asciiTheme="majorBidi" w:eastAsiaTheme="minorEastAsia" w:hAnsiTheme="majorBidi" w:cstheme="majorBidi"/>
          <w:bCs/>
          <w:sz w:val="24"/>
          <w:szCs w:val="24"/>
        </w:rPr>
        <w:t>où</w:t>
      </w:r>
      <w:r w:rsidR="00A52EAE">
        <w:rPr>
          <w:rFonts w:asciiTheme="majorBidi" w:eastAsiaTheme="minorEastAsia" w:hAnsiTheme="majorBidi" w:cstheme="majorBidi"/>
          <w:bCs/>
          <w:sz w:val="24"/>
          <w:szCs w:val="24"/>
        </w:rPr>
        <w:t> :</w:t>
      </w:r>
      <w:r w:rsidR="00A52EAE" w:rsidRPr="00E16FA9">
        <w:rPr>
          <w:rFonts w:asciiTheme="majorBidi" w:eastAsiaTheme="minorEastAsia" w:hAnsiTheme="majorBidi" w:cstheme="majorBidi"/>
          <w:bCs/>
          <w:sz w:val="24"/>
          <w:szCs w:val="24"/>
        </w:rPr>
        <w:t xml:space="preserve"> </w:t>
      </w:r>
    </w:p>
    <w:p w:rsidR="00D62AFC" w:rsidRPr="00D62AFC" w:rsidRDefault="00D62AFC" w:rsidP="00D62AFC">
      <w:pPr>
        <w:pStyle w:val="Paragraphedeliste"/>
        <w:numPr>
          <w:ilvl w:val="0"/>
          <w:numId w:val="4"/>
        </w:numPr>
        <w:spacing w:line="36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i</w:t>
      </w:r>
      <w:r w:rsidRPr="005B4E52">
        <w:rPr>
          <w:rFonts w:asciiTheme="majorBidi" w:eastAsiaTheme="minorEastAsia" w:hAnsiTheme="majorBidi" w:cstheme="majorBidi"/>
          <w:sz w:val="24"/>
          <w:szCs w:val="24"/>
        </w:rPr>
        <w:t xml:space="preserve"> représente une commune parmi les 360 que compte le Cameroun</w:t>
      </w:r>
      <w:r>
        <w:rPr>
          <w:rFonts w:asciiTheme="majorBidi" w:eastAsiaTheme="minorEastAsia" w:hAnsiTheme="majorBidi" w:cstheme="majorBidi"/>
          <w:sz w:val="24"/>
          <w:szCs w:val="24"/>
        </w:rPr>
        <w:t xml:space="preserve"> (unité d’analyse)</w:t>
      </w:r>
    </w:p>
    <w:p w:rsidR="00A52EAE" w:rsidRPr="005B4E52" w:rsidRDefault="00A52EAE" w:rsidP="00A52EAE">
      <w:pPr>
        <w:pStyle w:val="Paragraphedeliste"/>
        <w:numPr>
          <w:ilvl w:val="0"/>
          <w:numId w:val="4"/>
        </w:numPr>
        <w:spacing w:line="360" w:lineRule="auto"/>
        <w:jc w:val="both"/>
        <w:rPr>
          <w:rFonts w:asciiTheme="majorBidi" w:eastAsiaTheme="minorEastAsia" w:hAnsiTheme="majorBidi" w:cstheme="majorBidi"/>
          <w:sz w:val="24"/>
          <w:szCs w:val="24"/>
        </w:rPr>
      </w:pPr>
      <w:proofErr w:type="spellStart"/>
      <w:r w:rsidRPr="005B4E52">
        <w:rPr>
          <w:rFonts w:asciiTheme="majorBidi" w:eastAsiaTheme="minorEastAsia" w:hAnsiTheme="majorBidi" w:cstheme="majorBidi"/>
          <w:sz w:val="24"/>
          <w:szCs w:val="24"/>
        </w:rPr>
        <w:t>j</w:t>
      </w:r>
      <w:proofErr w:type="spellEnd"/>
      <w:r w:rsidRPr="005B4E52">
        <w:rPr>
          <w:rFonts w:asciiTheme="majorBidi" w:eastAsiaTheme="minorEastAsia" w:hAnsiTheme="majorBidi" w:cstheme="majorBidi"/>
          <w:sz w:val="24"/>
          <w:szCs w:val="24"/>
        </w:rPr>
        <w:t xml:space="preserve"> représente les</w:t>
      </w:r>
      <w:r w:rsidR="00795472">
        <w:rPr>
          <w:rFonts w:asciiTheme="majorBidi" w:eastAsiaTheme="minorEastAsia" w:hAnsiTheme="majorBidi" w:cstheme="majorBidi"/>
          <w:sz w:val="24"/>
          <w:szCs w:val="24"/>
        </w:rPr>
        <w:t xml:space="preserve"> six</w:t>
      </w:r>
      <w:r w:rsidRPr="005B4E52">
        <w:rPr>
          <w:rFonts w:asciiTheme="majorBidi" w:eastAsiaTheme="minorEastAsia" w:hAnsiTheme="majorBidi" w:cstheme="majorBidi"/>
          <w:sz w:val="24"/>
          <w:szCs w:val="24"/>
        </w:rPr>
        <w:t xml:space="preserve"> critères de répartitio</w:t>
      </w:r>
      <w:r w:rsidR="00795472">
        <w:rPr>
          <w:rFonts w:asciiTheme="majorBidi" w:eastAsiaTheme="minorEastAsia" w:hAnsiTheme="majorBidi" w:cstheme="majorBidi"/>
          <w:sz w:val="24"/>
          <w:szCs w:val="24"/>
        </w:rPr>
        <w:t>n utilisés</w:t>
      </w:r>
      <w:r w:rsidRPr="005B4E52">
        <w:rPr>
          <w:rFonts w:asciiTheme="majorBidi" w:eastAsiaTheme="minorEastAsia" w:hAnsiTheme="majorBidi" w:cstheme="majorBidi"/>
          <w:sz w:val="24"/>
          <w:szCs w:val="24"/>
        </w:rPr>
        <w:t> :</w:t>
      </w:r>
    </w:p>
    <w:p w:rsidR="00A52EAE" w:rsidRDefault="00A52EAE" w:rsidP="001C6F9B">
      <w:pPr>
        <w:pStyle w:val="Paragraphedeliste"/>
        <w:numPr>
          <w:ilvl w:val="0"/>
          <w:numId w:val="3"/>
        </w:numPr>
        <w:spacing w:line="36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Le critère de répartition égale</w:t>
      </w:r>
    </w:p>
    <w:p w:rsidR="00A52EAE" w:rsidRDefault="00A52EAE" w:rsidP="00A52EAE">
      <w:pPr>
        <w:pStyle w:val="Paragraphedeliste"/>
        <w:numPr>
          <w:ilvl w:val="0"/>
          <w:numId w:val="3"/>
        </w:numPr>
        <w:spacing w:line="36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Le critère démographique (en fonction du poids démographique de la commune)</w:t>
      </w:r>
    </w:p>
    <w:p w:rsidR="00A52EAE" w:rsidRDefault="001C6F9B" w:rsidP="00A52EAE">
      <w:pPr>
        <w:pStyle w:val="Paragraphedeliste"/>
        <w:numPr>
          <w:ilvl w:val="0"/>
          <w:numId w:val="3"/>
        </w:numPr>
        <w:spacing w:line="36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Le critère lié au taux de scolarisation</w:t>
      </w:r>
    </w:p>
    <w:p w:rsidR="001C6F9B" w:rsidRDefault="001C6F9B" w:rsidP="001C6F9B">
      <w:pPr>
        <w:pStyle w:val="Paragraphedeliste"/>
        <w:numPr>
          <w:ilvl w:val="0"/>
          <w:numId w:val="3"/>
        </w:numPr>
        <w:spacing w:line="36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Le critère lié au taux de couverture vaccinale</w:t>
      </w:r>
    </w:p>
    <w:p w:rsidR="001C6F9B" w:rsidRDefault="001C6F9B" w:rsidP="001C6F9B">
      <w:pPr>
        <w:pStyle w:val="Paragraphedeliste"/>
        <w:numPr>
          <w:ilvl w:val="0"/>
          <w:numId w:val="3"/>
        </w:numPr>
        <w:spacing w:line="36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Le critère lié au taux d’accès à l’eau potable</w:t>
      </w:r>
    </w:p>
    <w:p w:rsidR="001C6F9B" w:rsidRPr="001C6F9B" w:rsidRDefault="001C6F9B" w:rsidP="001C6F9B">
      <w:pPr>
        <w:pStyle w:val="Paragraphedeliste"/>
        <w:numPr>
          <w:ilvl w:val="0"/>
          <w:numId w:val="3"/>
        </w:numPr>
        <w:spacing w:line="36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Le critère lié au taux d’accès à l’électricité</w:t>
      </w:r>
    </w:p>
    <w:p w:rsidR="006C7298" w:rsidRDefault="00A75C62" w:rsidP="00762C9C">
      <w:pPr>
        <w:pStyle w:val="Paragraphedeliste"/>
        <w:numPr>
          <w:ilvl w:val="0"/>
          <w:numId w:val="4"/>
        </w:numPr>
        <w:spacing w:line="360" w:lineRule="auto"/>
        <w:jc w:val="both"/>
        <w:rPr>
          <w:rFonts w:asciiTheme="majorBidi" w:eastAsiaTheme="minorEastAsia" w:hAnsiTheme="majorBidi" w:cstheme="majorBidi"/>
          <w:bCs/>
          <w:sz w:val="24"/>
          <w:szCs w:val="24"/>
        </w:rPr>
      </w:pPr>
      <m:oMath>
        <m:sSub>
          <m:sSubPr>
            <m:ctrlPr>
              <w:rPr>
                <w:rFonts w:ascii="Cambria Math" w:hAnsi="Cambria Math" w:cstheme="majorBidi"/>
                <w:bCs/>
                <w:i/>
                <w:sz w:val="24"/>
                <w:szCs w:val="24"/>
              </w:rPr>
            </m:ctrlPr>
          </m:sSubPr>
          <m:e>
            <m:r>
              <w:rPr>
                <w:rFonts w:ascii="Cambria Math" w:hAnsi="Cambria Math" w:cstheme="majorBidi"/>
                <w:sz w:val="24"/>
                <w:szCs w:val="24"/>
              </w:rPr>
              <m:t>Y</m:t>
            </m:r>
          </m:e>
          <m:sub>
            <m:r>
              <w:rPr>
                <w:rFonts w:ascii="Cambria Math" w:hAnsi="Cambria Math" w:cstheme="majorBidi"/>
                <w:sz w:val="24"/>
                <w:szCs w:val="24"/>
              </w:rPr>
              <m:t>i</m:t>
            </m:r>
          </m:sub>
        </m:sSub>
      </m:oMath>
      <w:r w:rsidR="00A52EAE" w:rsidRPr="006C7298">
        <w:rPr>
          <w:rFonts w:asciiTheme="majorBidi" w:eastAsiaTheme="minorEastAsia" w:hAnsiTheme="majorBidi" w:cstheme="majorBidi"/>
          <w:bCs/>
          <w:sz w:val="24"/>
          <w:szCs w:val="24"/>
        </w:rPr>
        <w:t xml:space="preserve"> représente le montant</w:t>
      </w:r>
      <w:r w:rsidR="00F200D3">
        <w:rPr>
          <w:rFonts w:asciiTheme="majorBidi" w:eastAsiaTheme="minorEastAsia" w:hAnsiTheme="majorBidi" w:cstheme="majorBidi"/>
          <w:bCs/>
          <w:sz w:val="24"/>
          <w:szCs w:val="24"/>
        </w:rPr>
        <w:t xml:space="preserve"> investi dans la commune i</w:t>
      </w:r>
    </w:p>
    <w:p w:rsidR="00A52EAE" w:rsidRPr="006C7298" w:rsidRDefault="00F200D3" w:rsidP="00762C9C">
      <w:pPr>
        <w:pStyle w:val="Paragraphedeliste"/>
        <w:numPr>
          <w:ilvl w:val="0"/>
          <w:numId w:val="4"/>
        </w:numPr>
        <w:spacing w:line="360" w:lineRule="auto"/>
        <w:jc w:val="both"/>
        <w:rPr>
          <w:rFonts w:asciiTheme="majorBidi" w:eastAsiaTheme="minorEastAsia" w:hAnsiTheme="majorBidi" w:cstheme="majorBidi"/>
          <w:bCs/>
          <w:sz w:val="24"/>
          <w:szCs w:val="24"/>
        </w:rPr>
      </w:pPr>
      <w:r>
        <w:rPr>
          <w:rFonts w:asciiTheme="majorBidi" w:eastAsiaTheme="minorEastAsia" w:hAnsiTheme="majorBidi" w:cstheme="majorBidi"/>
          <w:bCs/>
          <w:sz w:val="24"/>
          <w:szCs w:val="24"/>
        </w:rPr>
        <w:t xml:space="preserve">Les </w:t>
      </w:r>
      <m:oMath>
        <m:sSub>
          <m:sSubPr>
            <m:ctrlPr>
              <w:rPr>
                <w:rFonts w:ascii="Cambria Math" w:hAnsi="Cambria Math" w:cstheme="majorBidi"/>
                <w:bCs/>
                <w:i/>
                <w:sz w:val="24"/>
                <w:szCs w:val="24"/>
              </w:rPr>
            </m:ctrlPr>
          </m:sSubPr>
          <m:e>
            <m:r>
              <w:rPr>
                <w:rFonts w:ascii="Cambria Math" w:hAnsi="Cambria Math" w:cstheme="majorBidi"/>
                <w:sz w:val="24"/>
                <w:szCs w:val="24"/>
              </w:rPr>
              <m:t>X</m:t>
            </m:r>
          </m:e>
          <m:sub>
            <m:r>
              <w:rPr>
                <w:rFonts w:ascii="Cambria Math" w:hAnsi="Cambria Math" w:cstheme="majorBidi"/>
                <w:sz w:val="24"/>
                <w:szCs w:val="24"/>
              </w:rPr>
              <m:t>ji</m:t>
            </m:r>
          </m:sub>
        </m:sSub>
      </m:oMath>
      <w:r w:rsidR="00F8721A">
        <w:rPr>
          <w:rFonts w:asciiTheme="majorBidi" w:eastAsiaTheme="minorEastAsia" w:hAnsiTheme="majorBidi" w:cstheme="majorBidi"/>
          <w:bCs/>
          <w:sz w:val="24"/>
          <w:szCs w:val="24"/>
        </w:rPr>
        <w:t xml:space="preserve"> </w:t>
      </w:r>
      <w:r w:rsidR="00A52EAE" w:rsidRPr="006C7298">
        <w:rPr>
          <w:rFonts w:asciiTheme="majorBidi" w:eastAsiaTheme="minorEastAsia" w:hAnsiTheme="majorBidi" w:cstheme="majorBidi"/>
          <w:bCs/>
          <w:sz w:val="24"/>
          <w:szCs w:val="24"/>
        </w:rPr>
        <w:t>représente</w:t>
      </w:r>
      <w:r w:rsidR="00F8721A">
        <w:rPr>
          <w:rFonts w:asciiTheme="majorBidi" w:eastAsiaTheme="minorEastAsia" w:hAnsiTheme="majorBidi" w:cstheme="majorBidi"/>
          <w:bCs/>
          <w:sz w:val="24"/>
          <w:szCs w:val="24"/>
        </w:rPr>
        <w:t>nt</w:t>
      </w:r>
      <w:r w:rsidR="00327992">
        <w:rPr>
          <w:rFonts w:asciiTheme="majorBidi" w:eastAsiaTheme="minorEastAsia" w:hAnsiTheme="majorBidi" w:cstheme="majorBidi"/>
          <w:bCs/>
          <w:sz w:val="24"/>
          <w:szCs w:val="24"/>
        </w:rPr>
        <w:t xml:space="preserve"> les</w:t>
      </w:r>
      <w:r w:rsidR="00A52EAE" w:rsidRPr="006C7298">
        <w:rPr>
          <w:rFonts w:asciiTheme="majorBidi" w:eastAsiaTheme="minorEastAsia" w:hAnsiTheme="majorBidi" w:cstheme="majorBidi"/>
          <w:bCs/>
          <w:sz w:val="24"/>
          <w:szCs w:val="24"/>
        </w:rPr>
        <w:t xml:space="preserve"> critère</w:t>
      </w:r>
      <w:r w:rsidR="00327992">
        <w:rPr>
          <w:rFonts w:asciiTheme="majorBidi" w:eastAsiaTheme="minorEastAsia" w:hAnsiTheme="majorBidi" w:cstheme="majorBidi"/>
          <w:bCs/>
          <w:sz w:val="24"/>
          <w:szCs w:val="24"/>
        </w:rPr>
        <w:t xml:space="preserve">s liés aux besoins de développement dans </w:t>
      </w:r>
      <w:r w:rsidR="00A52EAE" w:rsidRPr="006C7298">
        <w:rPr>
          <w:rFonts w:asciiTheme="majorBidi" w:eastAsiaTheme="minorEastAsia" w:hAnsiTheme="majorBidi" w:cstheme="majorBidi"/>
          <w:bCs/>
          <w:sz w:val="24"/>
          <w:szCs w:val="24"/>
        </w:rPr>
        <w:t>les communes (input du modèle)</w:t>
      </w:r>
    </w:p>
    <w:p w:rsidR="00A52EAE" w:rsidRDefault="00A75C62" w:rsidP="00A52EAE">
      <w:pPr>
        <w:pStyle w:val="Paragraphedeliste"/>
        <w:numPr>
          <w:ilvl w:val="0"/>
          <w:numId w:val="4"/>
        </w:numPr>
        <w:spacing w:line="360" w:lineRule="auto"/>
        <w:jc w:val="both"/>
        <w:rPr>
          <w:rFonts w:asciiTheme="majorBidi" w:eastAsiaTheme="minorEastAsia" w:hAnsiTheme="majorBidi" w:cstheme="majorBidi"/>
          <w:bCs/>
          <w:sz w:val="24"/>
          <w:szCs w:val="24"/>
        </w:rPr>
      </w:pPr>
      <m:oMath>
        <m:sSub>
          <m:sSubPr>
            <m:ctrlPr>
              <w:rPr>
                <w:rFonts w:ascii="Cambria Math" w:hAnsi="Cambria Math" w:cstheme="majorBidi"/>
                <w:bCs/>
                <w:i/>
                <w:sz w:val="24"/>
                <w:szCs w:val="24"/>
              </w:rPr>
            </m:ctrlPr>
          </m:sSubPr>
          <m:e>
            <m:r>
              <w:rPr>
                <w:rFonts w:ascii="Cambria Math" w:hAnsi="Cambria Math" w:cstheme="majorBidi"/>
                <w:sz w:val="24"/>
                <w:szCs w:val="24"/>
              </w:rPr>
              <m:t xml:space="preserve"> ∝</m:t>
            </m:r>
          </m:e>
          <m:sub>
            <m:r>
              <w:rPr>
                <w:rFonts w:ascii="Cambria Math" w:hAnsi="Cambria Math" w:cstheme="majorBidi"/>
                <w:sz w:val="24"/>
                <w:szCs w:val="24"/>
              </w:rPr>
              <m:t>j</m:t>
            </m:r>
          </m:sub>
        </m:sSub>
      </m:oMath>
      <w:r w:rsidR="00A52EAE">
        <w:rPr>
          <w:rFonts w:asciiTheme="majorBidi" w:eastAsiaTheme="minorEastAsia" w:hAnsiTheme="majorBidi" w:cstheme="majorBidi"/>
          <w:bCs/>
          <w:sz w:val="24"/>
          <w:szCs w:val="24"/>
        </w:rPr>
        <w:t xml:space="preserve"> est l</w:t>
      </w:r>
      <w:r w:rsidR="0056711D">
        <w:rPr>
          <w:rFonts w:asciiTheme="majorBidi" w:eastAsiaTheme="minorEastAsia" w:hAnsiTheme="majorBidi" w:cstheme="majorBidi"/>
          <w:bCs/>
          <w:sz w:val="24"/>
          <w:szCs w:val="24"/>
        </w:rPr>
        <w:t xml:space="preserve">e coefficient de régression associé au critère de répartition </w:t>
      </w:r>
      <w:r w:rsidR="001C31F9">
        <w:rPr>
          <w:rFonts w:asciiTheme="majorBidi" w:eastAsiaTheme="minorEastAsia" w:hAnsiTheme="majorBidi" w:cstheme="majorBidi"/>
          <w:bCs/>
          <w:sz w:val="24"/>
          <w:szCs w:val="24"/>
        </w:rPr>
        <w:t>j</w:t>
      </w:r>
      <w:r w:rsidR="00A52EAE">
        <w:rPr>
          <w:rFonts w:asciiTheme="majorBidi" w:eastAsiaTheme="minorEastAsia" w:hAnsiTheme="majorBidi" w:cstheme="majorBidi"/>
          <w:bCs/>
          <w:sz w:val="24"/>
          <w:szCs w:val="24"/>
        </w:rPr>
        <w:t xml:space="preserve"> (output du modèle)  </w:t>
      </w:r>
    </w:p>
    <w:p w:rsidR="00A52EAE" w:rsidRPr="00910375" w:rsidRDefault="00A75C62" w:rsidP="00A52EAE">
      <w:pPr>
        <w:pStyle w:val="Paragraphedeliste"/>
        <w:numPr>
          <w:ilvl w:val="0"/>
          <w:numId w:val="4"/>
        </w:numPr>
        <w:spacing w:line="360" w:lineRule="auto"/>
        <w:jc w:val="both"/>
        <w:rPr>
          <w:rFonts w:asciiTheme="majorBidi" w:eastAsiaTheme="minorEastAsia" w:hAnsiTheme="majorBidi" w:cstheme="majorBidi"/>
          <w:bCs/>
          <w:sz w:val="24"/>
          <w:szCs w:val="24"/>
        </w:rPr>
      </w:pPr>
      <m:oMath>
        <m:sSub>
          <m:sSubPr>
            <m:ctrlPr>
              <w:rPr>
                <w:rFonts w:ascii="Cambria Math" w:hAnsi="Cambria Math" w:cstheme="majorBidi"/>
                <w:bCs/>
                <w:i/>
                <w:sz w:val="24"/>
                <w:szCs w:val="24"/>
              </w:rPr>
            </m:ctrlPr>
          </m:sSubPr>
          <m:e>
            <m:r>
              <w:rPr>
                <w:rFonts w:ascii="Cambria Math" w:hAnsi="Cambria Math" w:cstheme="majorBidi"/>
                <w:sz w:val="24"/>
                <w:szCs w:val="24"/>
              </w:rPr>
              <m:t xml:space="preserve"> ∝</m:t>
            </m:r>
          </m:e>
          <m:sub>
            <m:r>
              <w:rPr>
                <w:rFonts w:ascii="Cambria Math" w:hAnsi="Cambria Math" w:cstheme="majorBidi"/>
                <w:sz w:val="24"/>
                <w:szCs w:val="24"/>
              </w:rPr>
              <m:t>j</m:t>
            </m:r>
          </m:sub>
        </m:sSub>
        <m:sSub>
          <m:sSubPr>
            <m:ctrlPr>
              <w:rPr>
                <w:rFonts w:ascii="Cambria Math" w:hAnsi="Cambria Math" w:cstheme="majorBidi"/>
                <w:bCs/>
                <w:i/>
                <w:sz w:val="24"/>
                <w:szCs w:val="24"/>
              </w:rPr>
            </m:ctrlPr>
          </m:sSubPr>
          <m:e>
            <m:r>
              <w:rPr>
                <w:rFonts w:ascii="Cambria Math" w:hAnsi="Cambria Math" w:cstheme="majorBidi"/>
                <w:sz w:val="24"/>
                <w:szCs w:val="24"/>
              </w:rPr>
              <m:t>X</m:t>
            </m:r>
          </m:e>
          <m:sub>
            <m:r>
              <w:rPr>
                <w:rFonts w:ascii="Cambria Math" w:hAnsi="Cambria Math" w:cstheme="majorBidi"/>
                <w:sz w:val="24"/>
                <w:szCs w:val="24"/>
              </w:rPr>
              <m:t>ji</m:t>
            </m:r>
          </m:sub>
        </m:sSub>
      </m:oMath>
      <w:r w:rsidR="00A52EAE">
        <w:rPr>
          <w:rFonts w:asciiTheme="majorBidi" w:eastAsiaTheme="minorEastAsia" w:hAnsiTheme="majorBidi" w:cstheme="majorBidi"/>
          <w:bCs/>
          <w:sz w:val="24"/>
          <w:szCs w:val="24"/>
        </w:rPr>
        <w:t xml:space="preserve"> représente le m</w:t>
      </w:r>
      <w:r w:rsidR="0091517E">
        <w:rPr>
          <w:rFonts w:asciiTheme="majorBidi" w:eastAsiaTheme="minorEastAsia" w:hAnsiTheme="majorBidi" w:cstheme="majorBidi"/>
          <w:bCs/>
          <w:sz w:val="24"/>
          <w:szCs w:val="24"/>
        </w:rPr>
        <w:t>ontant investi dans la commune i</w:t>
      </w:r>
      <w:r w:rsidR="00A52EAE">
        <w:rPr>
          <w:rFonts w:asciiTheme="majorBidi" w:eastAsiaTheme="minorEastAsia" w:hAnsiTheme="majorBidi" w:cstheme="majorBidi"/>
          <w:bCs/>
          <w:sz w:val="24"/>
          <w:szCs w:val="24"/>
        </w:rPr>
        <w:t xml:space="preserve"> selon le critère de </w:t>
      </w:r>
      <w:r w:rsidR="00CF5396">
        <w:rPr>
          <w:rFonts w:asciiTheme="majorBidi" w:eastAsiaTheme="minorEastAsia" w:hAnsiTheme="majorBidi" w:cstheme="majorBidi"/>
          <w:bCs/>
          <w:sz w:val="24"/>
          <w:szCs w:val="24"/>
        </w:rPr>
        <w:t>répartition j</w:t>
      </w:r>
    </w:p>
    <w:p w:rsidR="00A52EAE" w:rsidRDefault="00A75C62" w:rsidP="00A52EAE">
      <w:pPr>
        <w:pStyle w:val="Paragraphedeliste"/>
        <w:numPr>
          <w:ilvl w:val="0"/>
          <w:numId w:val="4"/>
        </w:numPr>
        <w:spacing w:line="360" w:lineRule="auto"/>
        <w:jc w:val="both"/>
        <w:rPr>
          <w:rFonts w:asciiTheme="majorBidi" w:eastAsiaTheme="minorEastAsia" w:hAnsiTheme="majorBidi" w:cstheme="majorBidi"/>
          <w:bCs/>
          <w:sz w:val="24"/>
          <w:szCs w:val="24"/>
        </w:rPr>
      </w:pPr>
      <m:oMath>
        <m:sSub>
          <m:sSubPr>
            <m:ctrlPr>
              <w:rPr>
                <w:rFonts w:ascii="Cambria Math" w:hAnsi="Cambria Math" w:cstheme="majorBidi"/>
                <w:bCs/>
                <w:i/>
                <w:sz w:val="24"/>
                <w:szCs w:val="24"/>
              </w:rPr>
            </m:ctrlPr>
          </m:sSubPr>
          <m:e>
            <m:r>
              <w:rPr>
                <w:rFonts w:ascii="Cambria Math" w:hAnsi="Cambria Math" w:cstheme="majorBidi"/>
                <w:sz w:val="24"/>
                <w:szCs w:val="24"/>
              </w:rPr>
              <m:t>ε</m:t>
            </m:r>
          </m:e>
          <m:sub>
            <m:r>
              <w:rPr>
                <w:rFonts w:ascii="Cambria Math" w:hAnsi="Cambria Math" w:cstheme="majorBidi"/>
                <w:sz w:val="24"/>
                <w:szCs w:val="24"/>
              </w:rPr>
              <m:t>i</m:t>
            </m:r>
          </m:sub>
        </m:sSub>
      </m:oMath>
      <w:r w:rsidR="00A52EAE">
        <w:rPr>
          <w:rFonts w:asciiTheme="majorBidi" w:eastAsiaTheme="minorEastAsia" w:hAnsiTheme="majorBidi" w:cstheme="majorBidi"/>
          <w:bCs/>
          <w:sz w:val="24"/>
          <w:szCs w:val="24"/>
        </w:rPr>
        <w:t xml:space="preserve"> représente le montant investi dans la commune </w:t>
      </w:r>
      <w:r w:rsidR="007C1E4C">
        <w:rPr>
          <w:rFonts w:asciiTheme="majorBidi" w:eastAsiaTheme="minorEastAsia" w:hAnsiTheme="majorBidi" w:cstheme="majorBidi"/>
          <w:bCs/>
          <w:sz w:val="24"/>
          <w:szCs w:val="24"/>
        </w:rPr>
        <w:t>i</w:t>
      </w:r>
      <w:r w:rsidR="00A52EAE">
        <w:rPr>
          <w:rFonts w:asciiTheme="majorBidi" w:eastAsiaTheme="minorEastAsia" w:hAnsiTheme="majorBidi" w:cstheme="majorBidi"/>
          <w:bCs/>
          <w:sz w:val="24"/>
          <w:szCs w:val="24"/>
        </w:rPr>
        <w:t xml:space="preserve">, sans tenir compte des critères de répartition j = </w:t>
      </w:r>
      <w:r w:rsidR="002B6D86">
        <w:rPr>
          <w:rFonts w:asciiTheme="majorBidi" w:eastAsiaTheme="minorEastAsia" w:hAnsiTheme="majorBidi" w:cstheme="majorBidi"/>
          <w:bCs/>
          <w:sz w:val="24"/>
          <w:szCs w:val="24"/>
        </w:rPr>
        <w:t>0, …</w:t>
      </w:r>
      <w:r w:rsidR="00A52EAE">
        <w:rPr>
          <w:rFonts w:asciiTheme="majorBidi" w:eastAsiaTheme="minorEastAsia" w:hAnsiTheme="majorBidi" w:cstheme="majorBidi"/>
          <w:bCs/>
          <w:sz w:val="24"/>
          <w:szCs w:val="24"/>
        </w:rPr>
        <w:t>,</w:t>
      </w:r>
      <w:r w:rsidR="002B6D86">
        <w:rPr>
          <w:rFonts w:asciiTheme="majorBidi" w:eastAsiaTheme="minorEastAsia" w:hAnsiTheme="majorBidi" w:cstheme="majorBidi"/>
          <w:bCs/>
          <w:sz w:val="24"/>
          <w:szCs w:val="24"/>
        </w:rPr>
        <w:t xml:space="preserve"> 5</w:t>
      </w:r>
      <w:r w:rsidR="00A52EAE">
        <w:rPr>
          <w:rFonts w:asciiTheme="majorBidi" w:eastAsiaTheme="minorEastAsia" w:hAnsiTheme="majorBidi" w:cstheme="majorBidi"/>
          <w:bCs/>
          <w:sz w:val="24"/>
          <w:szCs w:val="24"/>
        </w:rPr>
        <w:t xml:space="preserve"> (output du modèle)</w:t>
      </w:r>
      <w:r w:rsidR="00A52EAE" w:rsidRPr="005B4E52">
        <w:rPr>
          <w:rFonts w:asciiTheme="majorBidi" w:eastAsiaTheme="minorEastAsia" w:hAnsiTheme="majorBidi" w:cstheme="majorBidi"/>
          <w:bCs/>
          <w:sz w:val="24"/>
          <w:szCs w:val="24"/>
        </w:rPr>
        <w:t xml:space="preserve"> </w:t>
      </w:r>
    </w:p>
    <w:p w:rsidR="00622055" w:rsidRDefault="00A52EAE" w:rsidP="00177E7B">
      <w:pPr>
        <w:spacing w:line="360" w:lineRule="auto"/>
        <w:jc w:val="both"/>
        <w:rPr>
          <w:rFonts w:asciiTheme="majorBidi" w:eastAsiaTheme="minorEastAsia" w:hAnsiTheme="majorBidi" w:cstheme="majorBidi"/>
          <w:bCs/>
          <w:sz w:val="24"/>
          <w:szCs w:val="24"/>
        </w:rPr>
      </w:pPr>
      <w:r>
        <w:rPr>
          <w:rFonts w:asciiTheme="majorBidi" w:eastAsiaTheme="minorEastAsia" w:hAnsiTheme="majorBidi" w:cstheme="majorBidi"/>
          <w:bCs/>
          <w:sz w:val="24"/>
          <w:szCs w:val="24"/>
        </w:rPr>
        <w:t xml:space="preserve">Le tableau ci-après montre les étapes de calcul pour la construction des </w:t>
      </w:r>
      <w:r w:rsidR="00386429">
        <w:rPr>
          <w:rFonts w:asciiTheme="majorBidi" w:eastAsiaTheme="minorEastAsia" w:hAnsiTheme="majorBidi" w:cstheme="majorBidi"/>
          <w:bCs/>
          <w:sz w:val="24"/>
          <w:szCs w:val="24"/>
        </w:rPr>
        <w:t>variables</w:t>
      </w:r>
      <w:r>
        <w:rPr>
          <w:rFonts w:asciiTheme="majorBidi" w:eastAsiaTheme="minorEastAsia" w:hAnsiTheme="majorBidi" w:cstheme="majorBidi"/>
          <w:bCs/>
          <w:sz w:val="24"/>
          <w:szCs w:val="24"/>
        </w:rPr>
        <w:t xml:space="preserve"> </w:t>
      </w:r>
      <m:oMath>
        <m:sSub>
          <m:sSubPr>
            <m:ctrlPr>
              <w:rPr>
                <w:rFonts w:ascii="Cambria Math" w:hAnsi="Cambria Math" w:cstheme="majorBidi"/>
                <w:bCs/>
                <w:i/>
                <w:sz w:val="24"/>
                <w:szCs w:val="24"/>
              </w:rPr>
            </m:ctrlPr>
          </m:sSubPr>
          <m:e>
            <m:r>
              <w:rPr>
                <w:rFonts w:ascii="Cambria Math" w:hAnsi="Cambria Math" w:cstheme="majorBidi"/>
                <w:sz w:val="24"/>
                <w:szCs w:val="24"/>
              </w:rPr>
              <m:t>X</m:t>
            </m:r>
          </m:e>
          <m:sub>
            <m:r>
              <w:rPr>
                <w:rFonts w:ascii="Cambria Math" w:hAnsi="Cambria Math" w:cstheme="majorBidi"/>
                <w:sz w:val="24"/>
                <w:szCs w:val="24"/>
              </w:rPr>
              <m:t>ji</m:t>
            </m:r>
          </m:sub>
        </m:sSub>
      </m:oMath>
    </w:p>
    <w:p w:rsidR="00622055" w:rsidRDefault="00622055" w:rsidP="00177E7B">
      <w:pPr>
        <w:spacing w:line="360" w:lineRule="auto"/>
        <w:jc w:val="both"/>
        <w:rPr>
          <w:rFonts w:asciiTheme="majorBidi" w:eastAsiaTheme="minorEastAsia" w:hAnsiTheme="majorBidi" w:cstheme="majorBidi"/>
          <w:bCs/>
          <w:sz w:val="24"/>
          <w:szCs w:val="24"/>
        </w:rPr>
        <w:sectPr w:rsidR="00622055" w:rsidSect="007061AF">
          <w:headerReference w:type="default" r:id="rId11"/>
          <w:footerReference w:type="default" r:id="rId12"/>
          <w:footerReference w:type="first" r:id="rId13"/>
          <w:pgSz w:w="11906" w:h="16838"/>
          <w:pgMar w:top="1440" w:right="1440" w:bottom="1440" w:left="1440" w:header="709" w:footer="709" w:gutter="0"/>
          <w:cols w:space="708"/>
          <w:titlePg/>
          <w:docGrid w:linePitch="360"/>
        </w:sectPr>
      </w:pPr>
    </w:p>
    <w:p w:rsidR="00622055" w:rsidRDefault="00622055" w:rsidP="00622055">
      <w:pPr>
        <w:spacing w:line="360" w:lineRule="auto"/>
        <w:jc w:val="center"/>
        <w:rPr>
          <w:rFonts w:asciiTheme="majorBidi" w:eastAsiaTheme="minorEastAsia" w:hAnsiTheme="majorBidi" w:cstheme="majorBidi"/>
          <w:bCs/>
          <w:sz w:val="24"/>
          <w:szCs w:val="24"/>
        </w:rPr>
      </w:pPr>
      <w:r>
        <w:rPr>
          <w:rFonts w:asciiTheme="majorBidi" w:hAnsiTheme="majorBidi" w:cstheme="majorBidi"/>
          <w:b/>
          <w:bCs/>
          <w:sz w:val="24"/>
          <w:szCs w:val="24"/>
        </w:rPr>
        <w:lastRenderedPageBreak/>
        <w:t xml:space="preserve">Tableau </w:t>
      </w:r>
      <w:r w:rsidR="00D861F2">
        <w:rPr>
          <w:rFonts w:asciiTheme="majorBidi" w:hAnsiTheme="majorBidi" w:cstheme="majorBidi"/>
          <w:b/>
          <w:bCs/>
          <w:sz w:val="24"/>
          <w:szCs w:val="24"/>
        </w:rPr>
        <w:t>2</w:t>
      </w:r>
      <w:r>
        <w:rPr>
          <w:rFonts w:asciiTheme="majorBidi" w:hAnsiTheme="majorBidi" w:cstheme="majorBidi"/>
          <w:b/>
          <w:bCs/>
          <w:sz w:val="24"/>
          <w:szCs w:val="24"/>
        </w:rPr>
        <w:t xml:space="preserve"> : </w:t>
      </w:r>
      <w:r w:rsidR="00EB1C5E">
        <w:rPr>
          <w:rFonts w:asciiTheme="majorBidi" w:hAnsiTheme="majorBidi" w:cstheme="majorBidi"/>
          <w:b/>
          <w:bCs/>
          <w:sz w:val="24"/>
          <w:szCs w:val="24"/>
        </w:rPr>
        <w:t xml:space="preserve">Tableau de calcul des </w:t>
      </w:r>
      <w:r w:rsidR="002171E9">
        <w:rPr>
          <w:rFonts w:asciiTheme="majorBidi" w:hAnsiTheme="majorBidi" w:cstheme="majorBidi"/>
          <w:b/>
          <w:bCs/>
          <w:sz w:val="24"/>
          <w:szCs w:val="24"/>
        </w:rPr>
        <w:t>variables</w:t>
      </w:r>
      <w:r w:rsidR="00EB1C5E">
        <w:rPr>
          <w:rFonts w:asciiTheme="majorBidi" w:hAnsiTheme="majorBidi" w:cstheme="majorBidi"/>
          <w:b/>
          <w:bCs/>
          <w:sz w:val="24"/>
          <w:szCs w:val="24"/>
        </w:rPr>
        <w:t xml:space="preserve"> liées aux </w:t>
      </w:r>
      <w:r w:rsidR="002171E9">
        <w:rPr>
          <w:rFonts w:asciiTheme="majorBidi" w:hAnsiTheme="majorBidi" w:cstheme="majorBidi"/>
          <w:b/>
          <w:bCs/>
          <w:sz w:val="24"/>
          <w:szCs w:val="24"/>
        </w:rPr>
        <w:t>besoins de développement dans les communes</w:t>
      </w:r>
    </w:p>
    <w:tbl>
      <w:tblPr>
        <w:tblStyle w:val="Grilledutableau"/>
        <w:tblW w:w="14737" w:type="dxa"/>
        <w:jc w:val="center"/>
        <w:tblLook w:val="04A0" w:firstRow="1" w:lastRow="0" w:firstColumn="1" w:lastColumn="0" w:noHBand="0" w:noVBand="1"/>
      </w:tblPr>
      <w:tblGrid>
        <w:gridCol w:w="1124"/>
        <w:gridCol w:w="1186"/>
        <w:gridCol w:w="1689"/>
        <w:gridCol w:w="2049"/>
        <w:gridCol w:w="1294"/>
        <w:gridCol w:w="2026"/>
        <w:gridCol w:w="547"/>
        <w:gridCol w:w="1915"/>
        <w:gridCol w:w="2907"/>
      </w:tblGrid>
      <w:tr w:rsidR="00B701C9" w:rsidRPr="00B9779D" w:rsidTr="00DF1B45">
        <w:trPr>
          <w:jc w:val="center"/>
        </w:trPr>
        <w:tc>
          <w:tcPr>
            <w:tcW w:w="1124" w:type="dxa"/>
            <w:vMerge w:val="restart"/>
            <w:vAlign w:val="center"/>
          </w:tcPr>
          <w:p w:rsidR="00B63B3F" w:rsidRPr="00B9779D" w:rsidRDefault="00077A53" w:rsidP="00E83003">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Commune N° i</w:t>
            </w:r>
          </w:p>
        </w:tc>
        <w:tc>
          <w:tcPr>
            <w:tcW w:w="1186" w:type="dxa"/>
            <w:vAlign w:val="center"/>
          </w:tcPr>
          <w:p w:rsidR="00B63B3F" w:rsidRPr="00B9779D" w:rsidRDefault="00A75C62" w:rsidP="00DD2A25">
            <w:pPr>
              <w:spacing w:after="0" w:line="240" w:lineRule="auto"/>
              <w:jc w:val="center"/>
              <w:rPr>
                <w:rFonts w:ascii="Times New Roman" w:eastAsiaTheme="minorEastAsia" w:hAnsi="Times New Roman" w:cs="Times New Roman"/>
                <w:b/>
                <w:bCs/>
                <w:sz w:val="20"/>
                <w:szCs w:val="20"/>
              </w:rPr>
            </w:pPr>
            <m:oMathPara>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X</m:t>
                    </m:r>
                  </m:e>
                  <m:sub>
                    <m:r>
                      <m:rPr>
                        <m:sty m:val="bi"/>
                      </m:rPr>
                      <w:rPr>
                        <w:rFonts w:ascii="Cambria Math" w:hAnsi="Cambria Math" w:cs="Times New Roman"/>
                        <w:sz w:val="20"/>
                        <w:szCs w:val="20"/>
                      </w:rPr>
                      <m:t>Oi</m:t>
                    </m:r>
                  </m:sub>
                </m:sSub>
              </m:oMath>
            </m:oMathPara>
          </w:p>
        </w:tc>
        <w:tc>
          <w:tcPr>
            <w:tcW w:w="3738" w:type="dxa"/>
            <w:gridSpan w:val="2"/>
            <w:vAlign w:val="center"/>
          </w:tcPr>
          <w:p w:rsidR="00B63B3F" w:rsidRPr="00B9779D" w:rsidRDefault="00A75C62" w:rsidP="00E83003">
            <w:pPr>
              <w:spacing w:after="0" w:line="240" w:lineRule="auto"/>
              <w:jc w:val="center"/>
              <w:rPr>
                <w:rFonts w:ascii="Times New Roman" w:eastAsiaTheme="minorEastAsia" w:hAnsi="Times New Roman" w:cs="Times New Roman"/>
                <w:b/>
                <w:bCs/>
                <w:sz w:val="20"/>
                <w:szCs w:val="20"/>
              </w:rPr>
            </w:pPr>
            <m:oMathPara>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X</m:t>
                    </m:r>
                  </m:e>
                  <m:sub>
                    <m:r>
                      <m:rPr>
                        <m:sty m:val="bi"/>
                      </m:rPr>
                      <w:rPr>
                        <w:rFonts w:ascii="Cambria Math" w:hAnsi="Cambria Math" w:cs="Times New Roman"/>
                        <w:sz w:val="20"/>
                        <w:szCs w:val="20"/>
                      </w:rPr>
                      <m:t>1</m:t>
                    </m:r>
                    <m:r>
                      <m:rPr>
                        <m:sty m:val="bi"/>
                      </m:rPr>
                      <w:rPr>
                        <w:rFonts w:ascii="Cambria Math" w:hAnsi="Cambria Math" w:cs="Times New Roman"/>
                        <w:sz w:val="20"/>
                        <w:szCs w:val="20"/>
                      </w:rPr>
                      <m:t>i</m:t>
                    </m:r>
                  </m:sub>
                </m:sSub>
              </m:oMath>
            </m:oMathPara>
          </w:p>
        </w:tc>
        <w:tc>
          <w:tcPr>
            <w:tcW w:w="8689" w:type="dxa"/>
            <w:gridSpan w:val="5"/>
          </w:tcPr>
          <w:p w:rsidR="00B63B3F" w:rsidRPr="00B9779D" w:rsidRDefault="00A75C62" w:rsidP="00591E11">
            <w:pPr>
              <w:spacing w:after="0" w:line="240" w:lineRule="auto"/>
              <w:jc w:val="center"/>
              <w:rPr>
                <w:rFonts w:ascii="Times New Roman" w:eastAsia="Calibri" w:hAnsi="Times New Roman" w:cs="Times New Roman"/>
                <w:b/>
                <w:bCs/>
                <w:sz w:val="20"/>
                <w:szCs w:val="20"/>
              </w:rPr>
            </w:pPr>
            <m:oMathPara>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X</m:t>
                    </m:r>
                  </m:e>
                  <m:sub>
                    <m:r>
                      <m:rPr>
                        <m:sty m:val="bi"/>
                      </m:rPr>
                      <w:rPr>
                        <w:rFonts w:ascii="Cambria Math" w:hAnsi="Cambria Math" w:cs="Times New Roman"/>
                        <w:sz w:val="20"/>
                        <w:szCs w:val="20"/>
                      </w:rPr>
                      <m:t>ji</m:t>
                    </m:r>
                  </m:sub>
                </m:sSub>
              </m:oMath>
            </m:oMathPara>
          </w:p>
        </w:tc>
      </w:tr>
      <w:tr w:rsidR="00B701C9" w:rsidRPr="00B9779D" w:rsidTr="00DF1B45">
        <w:trPr>
          <w:jc w:val="center"/>
        </w:trPr>
        <w:tc>
          <w:tcPr>
            <w:tcW w:w="1124" w:type="dxa"/>
            <w:vMerge/>
          </w:tcPr>
          <w:p w:rsidR="00B63B3F" w:rsidRPr="00B9779D" w:rsidRDefault="00B63B3F" w:rsidP="00E83003">
            <w:pPr>
              <w:spacing w:after="0" w:line="240" w:lineRule="auto"/>
              <w:jc w:val="center"/>
              <w:rPr>
                <w:rFonts w:ascii="Times New Roman" w:eastAsiaTheme="minorEastAsia" w:hAnsi="Times New Roman" w:cs="Times New Roman"/>
                <w:b/>
                <w:bCs/>
                <w:sz w:val="20"/>
                <w:szCs w:val="20"/>
              </w:rPr>
            </w:pPr>
          </w:p>
        </w:tc>
        <w:tc>
          <w:tcPr>
            <w:tcW w:w="1186" w:type="dxa"/>
            <w:vMerge w:val="restart"/>
            <w:vAlign w:val="center"/>
          </w:tcPr>
          <w:p w:rsidR="00B63B3F" w:rsidRPr="00B9779D" w:rsidRDefault="00B63B3F" w:rsidP="00E83003">
            <w:pPr>
              <w:spacing w:after="0" w:line="240" w:lineRule="auto"/>
              <w:jc w:val="center"/>
              <w:rPr>
                <w:rFonts w:ascii="Times New Roman" w:eastAsiaTheme="minorEastAsia" w:hAnsi="Times New Roman" w:cs="Times New Roman"/>
                <w:b/>
                <w:bCs/>
                <w:sz w:val="20"/>
                <w:szCs w:val="20"/>
              </w:rPr>
            </w:pPr>
            <w:r w:rsidRPr="00B9779D">
              <w:rPr>
                <w:rFonts w:ascii="Times New Roman" w:eastAsiaTheme="minorEastAsia" w:hAnsi="Times New Roman" w:cs="Times New Roman"/>
                <w:b/>
                <w:bCs/>
                <w:sz w:val="20"/>
                <w:szCs w:val="20"/>
              </w:rPr>
              <w:t>Critère de répartition égale</w:t>
            </w:r>
          </w:p>
        </w:tc>
        <w:tc>
          <w:tcPr>
            <w:tcW w:w="3738" w:type="dxa"/>
            <w:gridSpan w:val="2"/>
            <w:vAlign w:val="center"/>
          </w:tcPr>
          <w:p w:rsidR="00B63B3F" w:rsidRPr="00B9779D" w:rsidRDefault="00B63B3F" w:rsidP="00E83003">
            <w:pPr>
              <w:spacing w:after="0" w:line="240" w:lineRule="auto"/>
              <w:jc w:val="center"/>
              <w:rPr>
                <w:rFonts w:ascii="Times New Roman" w:eastAsiaTheme="minorEastAsia" w:hAnsi="Times New Roman" w:cs="Times New Roman"/>
                <w:b/>
                <w:bCs/>
                <w:sz w:val="20"/>
                <w:szCs w:val="20"/>
              </w:rPr>
            </w:pPr>
            <w:r w:rsidRPr="00B9779D">
              <w:rPr>
                <w:rFonts w:ascii="Times New Roman" w:eastAsiaTheme="minorEastAsia" w:hAnsi="Times New Roman" w:cs="Times New Roman"/>
                <w:b/>
                <w:bCs/>
                <w:sz w:val="20"/>
                <w:szCs w:val="20"/>
              </w:rPr>
              <w:t>Critère démographique</w:t>
            </w:r>
          </w:p>
        </w:tc>
        <w:tc>
          <w:tcPr>
            <w:tcW w:w="8689" w:type="dxa"/>
            <w:gridSpan w:val="5"/>
          </w:tcPr>
          <w:p w:rsidR="00B63B3F" w:rsidRPr="00B9779D" w:rsidRDefault="00B63B3F" w:rsidP="000A7E46">
            <w:pPr>
              <w:spacing w:after="0" w:line="240" w:lineRule="auto"/>
              <w:jc w:val="center"/>
              <w:rPr>
                <w:rFonts w:ascii="Times New Roman" w:eastAsiaTheme="minorEastAsia" w:hAnsi="Times New Roman" w:cs="Times New Roman"/>
                <w:b/>
                <w:bCs/>
                <w:sz w:val="20"/>
                <w:szCs w:val="20"/>
              </w:rPr>
            </w:pPr>
            <w:r w:rsidRPr="00B9779D">
              <w:rPr>
                <w:rFonts w:ascii="Times New Roman" w:eastAsiaTheme="minorEastAsia" w:hAnsi="Times New Roman" w:cs="Times New Roman"/>
                <w:b/>
                <w:bCs/>
                <w:sz w:val="20"/>
                <w:szCs w:val="20"/>
              </w:rPr>
              <w:t>Critère</w:t>
            </w:r>
            <w:r>
              <w:rPr>
                <w:rFonts w:ascii="Times New Roman" w:eastAsiaTheme="minorEastAsia" w:hAnsi="Times New Roman" w:cs="Times New Roman"/>
                <w:b/>
                <w:bCs/>
                <w:sz w:val="20"/>
                <w:szCs w:val="20"/>
              </w:rPr>
              <w:t>s</w:t>
            </w:r>
            <w:r w:rsidRPr="00B9779D">
              <w:rPr>
                <w:rFonts w:ascii="Times New Roman" w:eastAsiaTheme="minorEastAsia" w:hAnsi="Times New Roman" w:cs="Times New Roman"/>
                <w:b/>
                <w:bCs/>
                <w:sz w:val="20"/>
                <w:szCs w:val="20"/>
              </w:rPr>
              <w:t xml:space="preserve"> lié</w:t>
            </w:r>
            <w:r>
              <w:rPr>
                <w:rFonts w:ascii="Times New Roman" w:eastAsiaTheme="minorEastAsia" w:hAnsi="Times New Roman" w:cs="Times New Roman"/>
                <w:b/>
                <w:bCs/>
                <w:sz w:val="20"/>
                <w:szCs w:val="20"/>
              </w:rPr>
              <w:t>s</w:t>
            </w:r>
            <w:r w:rsidRPr="00B9779D">
              <w:rPr>
                <w:rFonts w:ascii="Times New Roman" w:eastAsiaTheme="minorEastAsia" w:hAnsi="Times New Roman" w:cs="Times New Roman"/>
                <w:b/>
                <w:bCs/>
                <w:sz w:val="20"/>
                <w:szCs w:val="20"/>
              </w:rPr>
              <w:t xml:space="preserve"> au</w:t>
            </w:r>
            <w:r w:rsidR="000A7E46">
              <w:rPr>
                <w:rFonts w:ascii="Times New Roman" w:eastAsiaTheme="minorEastAsia" w:hAnsi="Times New Roman" w:cs="Times New Roman"/>
                <w:b/>
                <w:bCs/>
                <w:sz w:val="20"/>
                <w:szCs w:val="20"/>
              </w:rPr>
              <w:t>x besoins de</w:t>
            </w:r>
            <w:r w:rsidRPr="00B9779D">
              <w:rPr>
                <w:rFonts w:ascii="Times New Roman" w:eastAsiaTheme="minorEastAsia" w:hAnsi="Times New Roman" w:cs="Times New Roman"/>
                <w:b/>
                <w:bCs/>
                <w:sz w:val="20"/>
                <w:szCs w:val="20"/>
              </w:rPr>
              <w:t xml:space="preserve"> développement dans la commune</w:t>
            </w:r>
          </w:p>
        </w:tc>
      </w:tr>
      <w:tr w:rsidR="00D42346" w:rsidRPr="00B9779D" w:rsidTr="00DF1B45">
        <w:trPr>
          <w:jc w:val="center"/>
        </w:trPr>
        <w:tc>
          <w:tcPr>
            <w:tcW w:w="1124" w:type="dxa"/>
            <w:vMerge/>
          </w:tcPr>
          <w:p w:rsidR="00FB4243" w:rsidRPr="00B9779D" w:rsidRDefault="00FB4243" w:rsidP="00591E11">
            <w:pPr>
              <w:spacing w:after="0" w:line="240" w:lineRule="auto"/>
              <w:jc w:val="center"/>
              <w:rPr>
                <w:rFonts w:ascii="Times New Roman" w:eastAsiaTheme="minorEastAsia" w:hAnsi="Times New Roman" w:cs="Times New Roman"/>
                <w:b/>
                <w:bCs/>
                <w:sz w:val="20"/>
                <w:szCs w:val="20"/>
              </w:rPr>
            </w:pPr>
          </w:p>
        </w:tc>
        <w:tc>
          <w:tcPr>
            <w:tcW w:w="1186" w:type="dxa"/>
            <w:vMerge/>
            <w:vAlign w:val="center"/>
          </w:tcPr>
          <w:p w:rsidR="00FB4243" w:rsidRPr="00B9779D" w:rsidRDefault="00FB4243" w:rsidP="00591E11">
            <w:pPr>
              <w:spacing w:after="0" w:line="240" w:lineRule="auto"/>
              <w:jc w:val="center"/>
              <w:rPr>
                <w:rFonts w:ascii="Times New Roman" w:eastAsiaTheme="minorEastAsia" w:hAnsi="Times New Roman" w:cs="Times New Roman"/>
                <w:b/>
                <w:bCs/>
                <w:sz w:val="20"/>
                <w:szCs w:val="20"/>
              </w:rPr>
            </w:pPr>
          </w:p>
        </w:tc>
        <w:tc>
          <w:tcPr>
            <w:tcW w:w="1689" w:type="dxa"/>
            <w:vAlign w:val="center"/>
          </w:tcPr>
          <w:p w:rsidR="00FB4243" w:rsidRPr="00B9779D" w:rsidRDefault="00FB4243" w:rsidP="00591E11">
            <w:pPr>
              <w:spacing w:after="0" w:line="240" w:lineRule="auto"/>
              <w:jc w:val="center"/>
              <w:rPr>
                <w:rFonts w:ascii="Times New Roman" w:eastAsiaTheme="minorEastAsia" w:hAnsi="Times New Roman" w:cs="Times New Roman"/>
                <w:b/>
                <w:bCs/>
                <w:sz w:val="20"/>
                <w:szCs w:val="20"/>
              </w:rPr>
            </w:pPr>
            <w:r w:rsidRPr="00B9779D">
              <w:rPr>
                <w:rFonts w:ascii="Times New Roman" w:eastAsiaTheme="minorEastAsia" w:hAnsi="Times New Roman" w:cs="Times New Roman"/>
                <w:b/>
                <w:bCs/>
                <w:sz w:val="20"/>
                <w:szCs w:val="20"/>
              </w:rPr>
              <w:t>Effectif de la population</w:t>
            </w:r>
          </w:p>
        </w:tc>
        <w:tc>
          <w:tcPr>
            <w:tcW w:w="2049" w:type="dxa"/>
            <w:vAlign w:val="center"/>
          </w:tcPr>
          <w:p w:rsidR="00FB4243" w:rsidRPr="00B9779D" w:rsidRDefault="00274210" w:rsidP="00591E11">
            <w:pPr>
              <w:spacing w:after="0" w:line="240" w:lineRule="auto"/>
              <w:jc w:val="center"/>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Poids démographique (en pour 100 000</w:t>
            </w:r>
            <w:r w:rsidR="00FB4243" w:rsidRPr="00B9779D">
              <w:rPr>
                <w:rFonts w:ascii="Times New Roman" w:eastAsiaTheme="minorEastAsia" w:hAnsi="Times New Roman" w:cs="Times New Roman"/>
                <w:b/>
                <w:bCs/>
                <w:sz w:val="20"/>
                <w:szCs w:val="20"/>
              </w:rPr>
              <w:t>)</w:t>
            </w:r>
          </w:p>
        </w:tc>
        <w:tc>
          <w:tcPr>
            <w:tcW w:w="1294" w:type="dxa"/>
            <w:vAlign w:val="center"/>
          </w:tcPr>
          <w:p w:rsidR="00FB4243" w:rsidRPr="00B9779D" w:rsidRDefault="00FB4243" w:rsidP="00591E11">
            <w:pPr>
              <w:spacing w:after="0" w:line="240" w:lineRule="auto"/>
              <w:jc w:val="center"/>
              <w:rPr>
                <w:rFonts w:ascii="Times New Roman" w:eastAsiaTheme="minorEastAsia" w:hAnsi="Times New Roman" w:cs="Times New Roman"/>
                <w:b/>
                <w:bCs/>
                <w:sz w:val="20"/>
                <w:szCs w:val="20"/>
              </w:rPr>
            </w:pPr>
            <w:r w:rsidRPr="00B9779D">
              <w:rPr>
                <w:rFonts w:ascii="Times New Roman" w:eastAsiaTheme="minorEastAsia" w:hAnsi="Times New Roman" w:cs="Times New Roman"/>
                <w:b/>
                <w:bCs/>
                <w:sz w:val="20"/>
                <w:szCs w:val="20"/>
              </w:rPr>
              <w:t>Taux de scolarisation</w:t>
            </w:r>
            <w:r w:rsidR="00DF1B45">
              <w:rPr>
                <w:rFonts w:ascii="Times New Roman" w:eastAsiaTheme="minorEastAsia" w:hAnsi="Times New Roman" w:cs="Times New Roman"/>
                <w:b/>
                <w:bCs/>
                <w:sz w:val="20"/>
                <w:szCs w:val="20"/>
              </w:rPr>
              <w:t xml:space="preserve"> (%)</w:t>
            </w:r>
            <w:r w:rsidRPr="00B9779D">
              <w:rPr>
                <w:rFonts w:ascii="Times New Roman" w:eastAsiaTheme="minorEastAsia" w:hAnsi="Times New Roman" w:cs="Times New Roman"/>
                <w:b/>
                <w:bCs/>
                <w:sz w:val="20"/>
                <w:szCs w:val="20"/>
              </w:rPr>
              <w:t xml:space="preserve"> </w:t>
            </w:r>
          </w:p>
        </w:tc>
        <w:tc>
          <w:tcPr>
            <w:tcW w:w="2026" w:type="dxa"/>
            <w:vAlign w:val="center"/>
          </w:tcPr>
          <w:p w:rsidR="00FB4243" w:rsidRPr="00B9779D" w:rsidRDefault="00FB4243" w:rsidP="00795472">
            <w:pPr>
              <w:spacing w:after="0" w:line="240" w:lineRule="auto"/>
              <w:jc w:val="center"/>
              <w:rPr>
                <w:rFonts w:ascii="Times New Roman" w:eastAsiaTheme="minorEastAsia" w:hAnsi="Times New Roman" w:cs="Times New Roman"/>
                <w:b/>
                <w:bCs/>
                <w:sz w:val="20"/>
                <w:szCs w:val="20"/>
              </w:rPr>
            </w:pPr>
            <w:r w:rsidRPr="00B9779D">
              <w:rPr>
                <w:rFonts w:ascii="Times New Roman" w:eastAsiaTheme="minorEastAsia" w:hAnsi="Times New Roman" w:cs="Times New Roman"/>
                <w:b/>
                <w:bCs/>
                <w:sz w:val="20"/>
                <w:szCs w:val="20"/>
              </w:rPr>
              <w:t xml:space="preserve">Distribution des </w:t>
            </w:r>
            <w:r w:rsidR="00795472">
              <w:rPr>
                <w:rFonts w:ascii="Times New Roman" w:eastAsiaTheme="minorEastAsia" w:hAnsi="Times New Roman" w:cs="Times New Roman"/>
                <w:b/>
                <w:bCs/>
                <w:sz w:val="20"/>
                <w:szCs w:val="20"/>
              </w:rPr>
              <w:t xml:space="preserve">besoins en matière de </w:t>
            </w:r>
            <w:r w:rsidRPr="00B9779D">
              <w:rPr>
                <w:rFonts w:ascii="Times New Roman" w:eastAsiaTheme="minorEastAsia" w:hAnsi="Times New Roman" w:cs="Times New Roman"/>
                <w:b/>
                <w:bCs/>
                <w:sz w:val="20"/>
                <w:szCs w:val="20"/>
              </w:rPr>
              <w:t>scolarisation (%)</w:t>
            </w:r>
          </w:p>
        </w:tc>
        <w:tc>
          <w:tcPr>
            <w:tcW w:w="547" w:type="dxa"/>
            <w:vAlign w:val="center"/>
          </w:tcPr>
          <w:p w:rsidR="00FB4243" w:rsidRDefault="00FB4243" w:rsidP="00591E11">
            <w:pPr>
              <w:spacing w:after="0" w:line="240" w:lineRule="auto"/>
              <w:jc w:val="center"/>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w:t>
            </w:r>
          </w:p>
        </w:tc>
        <w:tc>
          <w:tcPr>
            <w:tcW w:w="1915" w:type="dxa"/>
            <w:vAlign w:val="center"/>
          </w:tcPr>
          <w:p w:rsidR="00FB4243" w:rsidRPr="00B9779D" w:rsidRDefault="00FB4243" w:rsidP="00D42346">
            <w:pPr>
              <w:spacing w:after="0" w:line="240" w:lineRule="auto"/>
              <w:jc w:val="center"/>
              <w:rPr>
                <w:rFonts w:ascii="Times New Roman" w:eastAsiaTheme="minorEastAsia" w:hAnsi="Times New Roman" w:cs="Times New Roman"/>
                <w:b/>
                <w:bCs/>
                <w:sz w:val="20"/>
                <w:szCs w:val="20"/>
              </w:rPr>
            </w:pPr>
            <w:r w:rsidRPr="00B9779D">
              <w:rPr>
                <w:rFonts w:ascii="Times New Roman" w:eastAsiaTheme="minorEastAsia" w:hAnsi="Times New Roman" w:cs="Times New Roman"/>
                <w:b/>
                <w:bCs/>
                <w:sz w:val="20"/>
                <w:szCs w:val="20"/>
              </w:rPr>
              <w:t>Taux d</w:t>
            </w:r>
            <w:r w:rsidR="00D42346">
              <w:rPr>
                <w:rFonts w:ascii="Times New Roman" w:eastAsiaTheme="minorEastAsia" w:hAnsi="Times New Roman" w:cs="Times New Roman"/>
                <w:b/>
                <w:bCs/>
                <w:sz w:val="20"/>
                <w:szCs w:val="20"/>
              </w:rPr>
              <w:t>’accès à l</w:t>
            </w:r>
            <w:r>
              <w:rPr>
                <w:rFonts w:ascii="Times New Roman" w:eastAsiaTheme="minorEastAsia" w:hAnsi="Times New Roman" w:cs="Times New Roman"/>
                <w:b/>
                <w:bCs/>
                <w:sz w:val="20"/>
                <w:szCs w:val="20"/>
              </w:rPr>
              <w:t>’</w:t>
            </w:r>
            <w:r w:rsidR="00D42346">
              <w:rPr>
                <w:rFonts w:ascii="Times New Roman" w:eastAsiaTheme="minorEastAsia" w:hAnsi="Times New Roman" w:cs="Times New Roman"/>
                <w:b/>
                <w:bCs/>
                <w:sz w:val="20"/>
                <w:szCs w:val="20"/>
              </w:rPr>
              <w:t>électricité</w:t>
            </w:r>
            <w:r w:rsidR="00DF1B45">
              <w:rPr>
                <w:rFonts w:ascii="Times New Roman" w:eastAsiaTheme="minorEastAsia" w:hAnsi="Times New Roman" w:cs="Times New Roman"/>
                <w:b/>
                <w:bCs/>
                <w:sz w:val="20"/>
                <w:szCs w:val="20"/>
              </w:rPr>
              <w:t xml:space="preserve"> (%)</w:t>
            </w:r>
          </w:p>
        </w:tc>
        <w:tc>
          <w:tcPr>
            <w:tcW w:w="2907" w:type="dxa"/>
            <w:vAlign w:val="center"/>
          </w:tcPr>
          <w:p w:rsidR="00FB4243" w:rsidRPr="00B9779D" w:rsidRDefault="00FB4243" w:rsidP="000A7E46">
            <w:pPr>
              <w:spacing w:after="0" w:line="240" w:lineRule="auto"/>
              <w:jc w:val="center"/>
              <w:rPr>
                <w:rFonts w:ascii="Times New Roman" w:eastAsiaTheme="minorEastAsia" w:hAnsi="Times New Roman" w:cs="Times New Roman"/>
                <w:b/>
                <w:bCs/>
                <w:sz w:val="20"/>
                <w:szCs w:val="20"/>
              </w:rPr>
            </w:pPr>
            <w:r w:rsidRPr="00B9779D">
              <w:rPr>
                <w:rFonts w:ascii="Times New Roman" w:eastAsiaTheme="minorEastAsia" w:hAnsi="Times New Roman" w:cs="Times New Roman"/>
                <w:b/>
                <w:bCs/>
                <w:sz w:val="20"/>
                <w:szCs w:val="20"/>
              </w:rPr>
              <w:t>D</w:t>
            </w:r>
            <w:r>
              <w:rPr>
                <w:rFonts w:ascii="Times New Roman" w:eastAsiaTheme="minorEastAsia" w:hAnsi="Times New Roman" w:cs="Times New Roman"/>
                <w:b/>
                <w:bCs/>
                <w:sz w:val="20"/>
                <w:szCs w:val="20"/>
              </w:rPr>
              <w:t xml:space="preserve">istribution des </w:t>
            </w:r>
            <w:r w:rsidR="000A7E46">
              <w:rPr>
                <w:rFonts w:ascii="Times New Roman" w:eastAsiaTheme="minorEastAsia" w:hAnsi="Times New Roman" w:cs="Times New Roman"/>
                <w:b/>
                <w:bCs/>
                <w:sz w:val="20"/>
                <w:szCs w:val="20"/>
              </w:rPr>
              <w:t xml:space="preserve">besoins en matière </w:t>
            </w:r>
            <w:r w:rsidR="008B1409" w:rsidRPr="00B9779D">
              <w:rPr>
                <w:rFonts w:ascii="Times New Roman" w:eastAsiaTheme="minorEastAsia" w:hAnsi="Times New Roman" w:cs="Times New Roman"/>
                <w:b/>
                <w:bCs/>
                <w:sz w:val="20"/>
                <w:szCs w:val="20"/>
              </w:rPr>
              <w:t>d</w:t>
            </w:r>
            <w:r w:rsidR="008B1409">
              <w:rPr>
                <w:rFonts w:ascii="Times New Roman" w:eastAsiaTheme="minorEastAsia" w:hAnsi="Times New Roman" w:cs="Times New Roman"/>
                <w:b/>
                <w:bCs/>
                <w:sz w:val="20"/>
                <w:szCs w:val="20"/>
              </w:rPr>
              <w:t>’accès à l’électricité</w:t>
            </w:r>
            <w:r w:rsidRPr="00B9779D">
              <w:rPr>
                <w:rFonts w:ascii="Times New Roman" w:eastAsiaTheme="minorEastAsia" w:hAnsi="Times New Roman" w:cs="Times New Roman"/>
                <w:b/>
                <w:bCs/>
                <w:sz w:val="20"/>
                <w:szCs w:val="20"/>
              </w:rPr>
              <w:t xml:space="preserve"> (%)</w:t>
            </w:r>
          </w:p>
        </w:tc>
      </w:tr>
      <w:tr w:rsidR="00D42346" w:rsidRPr="00B9779D" w:rsidTr="00DF1B45">
        <w:trPr>
          <w:jc w:val="center"/>
        </w:trPr>
        <w:tc>
          <w:tcPr>
            <w:tcW w:w="1124" w:type="dxa"/>
            <w:vAlign w:val="center"/>
          </w:tcPr>
          <w:p w:rsidR="00FB4243" w:rsidRPr="00B9779D" w:rsidRDefault="00FB4243" w:rsidP="00591E11">
            <w:pPr>
              <w:spacing w:after="0" w:line="360" w:lineRule="auto"/>
              <w:jc w:val="center"/>
              <w:rPr>
                <w:rFonts w:ascii="Times New Roman" w:eastAsiaTheme="minorEastAsia" w:hAnsi="Times New Roman" w:cs="Times New Roman"/>
                <w:bCs/>
                <w:sz w:val="28"/>
                <w:szCs w:val="28"/>
              </w:rPr>
            </w:pPr>
            <w:r w:rsidRPr="00B9779D">
              <w:rPr>
                <w:rFonts w:ascii="Times New Roman" w:eastAsiaTheme="minorEastAsia" w:hAnsi="Times New Roman" w:cs="Times New Roman"/>
                <w:bCs/>
                <w:sz w:val="28"/>
                <w:szCs w:val="28"/>
              </w:rPr>
              <w:t>1</w:t>
            </w:r>
          </w:p>
        </w:tc>
        <w:tc>
          <w:tcPr>
            <w:tcW w:w="1186" w:type="dxa"/>
            <w:vAlign w:val="center"/>
          </w:tcPr>
          <w:p w:rsidR="00FB4243" w:rsidRPr="00B9779D" w:rsidRDefault="00FB4243" w:rsidP="00591E11">
            <w:pPr>
              <w:spacing w:after="0" w:line="360" w:lineRule="auto"/>
              <w:jc w:val="center"/>
              <w:rPr>
                <w:rFonts w:ascii="Times New Roman" w:hAnsi="Times New Roman" w:cs="Times New Roman"/>
                <w:sz w:val="28"/>
                <w:szCs w:val="28"/>
              </w:rPr>
            </w:pPr>
            <w:r w:rsidRPr="00B9779D">
              <w:rPr>
                <w:rFonts w:ascii="Times New Roman" w:eastAsiaTheme="minorEastAsia" w:hAnsi="Times New Roman" w:cs="Times New Roman"/>
                <w:bCs/>
                <w:sz w:val="28"/>
                <w:szCs w:val="28"/>
              </w:rPr>
              <w:t>1</w:t>
            </w:r>
          </w:p>
        </w:tc>
        <w:tc>
          <w:tcPr>
            <w:tcW w:w="1689" w:type="dxa"/>
            <w:vAlign w:val="center"/>
          </w:tcPr>
          <w:p w:rsidR="00FB4243" w:rsidRPr="00B9779D" w:rsidRDefault="00A75C62" w:rsidP="00591E11">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P</m:t>
                    </m:r>
                  </m:e>
                  <m:sub>
                    <m:r>
                      <w:rPr>
                        <w:rFonts w:ascii="Cambria Math" w:hAnsi="Cambria Math" w:cs="Times New Roman"/>
                        <w:sz w:val="28"/>
                        <w:szCs w:val="28"/>
                      </w:rPr>
                      <m:t>1</m:t>
                    </m:r>
                  </m:sub>
                </m:sSub>
              </m:oMath>
            </m:oMathPara>
          </w:p>
        </w:tc>
        <w:tc>
          <w:tcPr>
            <w:tcW w:w="2049" w:type="dxa"/>
            <w:vAlign w:val="center"/>
          </w:tcPr>
          <w:p w:rsidR="00FB4243" w:rsidRPr="00B9779D" w:rsidRDefault="00A75C62" w:rsidP="00591E11">
            <w:pPr>
              <w:spacing w:after="0" w:line="360" w:lineRule="auto"/>
              <w:jc w:val="center"/>
              <w:rPr>
                <w:rFonts w:ascii="Times New Roman" w:eastAsiaTheme="minorEastAsia" w:hAnsi="Times New Roman" w:cs="Times New Roman"/>
                <w:bCs/>
                <w:sz w:val="28"/>
                <w:szCs w:val="28"/>
              </w:rPr>
            </w:pPr>
            <m:oMathPara>
              <m:oMath>
                <m:f>
                  <m:fPr>
                    <m:ctrlPr>
                      <w:rPr>
                        <w:rFonts w:ascii="Cambria Math" w:hAnsi="Cambria Math" w:cs="Times New Roman"/>
                        <w:bCs/>
                        <w:i/>
                        <w:sz w:val="28"/>
                        <w:szCs w:val="28"/>
                      </w:rPr>
                    </m:ctrlPr>
                  </m:fPr>
                  <m:num>
                    <m:sSub>
                      <m:sSubPr>
                        <m:ctrlPr>
                          <w:rPr>
                            <w:rFonts w:ascii="Cambria Math" w:hAnsi="Cambria Math" w:cs="Times New Roman"/>
                            <w:bCs/>
                            <w:i/>
                            <w:sz w:val="28"/>
                            <w:szCs w:val="28"/>
                          </w:rPr>
                        </m:ctrlPr>
                      </m:sSubPr>
                      <m:e>
                        <m:r>
                          <w:rPr>
                            <w:rFonts w:ascii="Cambria Math" w:hAnsi="Cambria Math" w:cs="Times New Roman"/>
                            <w:sz w:val="28"/>
                            <w:szCs w:val="28"/>
                          </w:rPr>
                          <m:t>P</m:t>
                        </m:r>
                      </m:e>
                      <m:sub>
                        <m:r>
                          <w:rPr>
                            <w:rFonts w:ascii="Cambria Math" w:hAnsi="Cambria Math" w:cs="Times New Roman"/>
                            <w:sz w:val="28"/>
                            <w:szCs w:val="28"/>
                          </w:rPr>
                          <m:t>1</m:t>
                        </m:r>
                      </m:sub>
                    </m:sSub>
                  </m:num>
                  <m:den>
                    <m:nary>
                      <m:naryPr>
                        <m:chr m:val="∑"/>
                        <m:limLoc m:val="undOvr"/>
                        <m:ctrlPr>
                          <w:rPr>
                            <w:rFonts w:ascii="Cambria Math" w:hAnsi="Cambria Math" w:cs="Times New Roman"/>
                            <w:bCs/>
                            <w:i/>
                            <w:sz w:val="28"/>
                            <w:szCs w:val="28"/>
                          </w:rPr>
                        </m:ctrlPr>
                      </m:naryPr>
                      <m:sub>
                        <m:r>
                          <w:rPr>
                            <w:rFonts w:ascii="Cambria Math" w:hAnsi="Cambria Math" w:cs="Times New Roman"/>
                            <w:sz w:val="28"/>
                            <w:szCs w:val="28"/>
                          </w:rPr>
                          <m:t>k=1</m:t>
                        </m:r>
                      </m:sub>
                      <m:sup>
                        <m:r>
                          <w:rPr>
                            <w:rFonts w:ascii="Cambria Math" w:hAnsi="Cambria Math" w:cs="Times New Roman"/>
                            <w:sz w:val="28"/>
                            <w:szCs w:val="28"/>
                          </w:rPr>
                          <m:t>360</m:t>
                        </m:r>
                      </m:sup>
                      <m:e>
                        <m:sSub>
                          <m:sSubPr>
                            <m:ctrlPr>
                              <w:rPr>
                                <w:rFonts w:ascii="Cambria Math" w:hAnsi="Cambria Math" w:cs="Times New Roman"/>
                                <w:bCs/>
                                <w:i/>
                                <w:sz w:val="28"/>
                                <w:szCs w:val="28"/>
                              </w:rPr>
                            </m:ctrlPr>
                          </m:sSubPr>
                          <m:e>
                            <m:r>
                              <w:rPr>
                                <w:rFonts w:ascii="Cambria Math" w:hAnsi="Cambria Math" w:cs="Times New Roman"/>
                                <w:sz w:val="28"/>
                                <w:szCs w:val="28"/>
                              </w:rPr>
                              <m:t>P</m:t>
                            </m:r>
                          </m:e>
                          <m:sub>
                            <m:r>
                              <w:rPr>
                                <w:rFonts w:ascii="Cambria Math" w:hAnsi="Cambria Math" w:cs="Times New Roman"/>
                                <w:sz w:val="28"/>
                                <w:szCs w:val="28"/>
                              </w:rPr>
                              <m:t>k</m:t>
                            </m:r>
                          </m:sub>
                        </m:sSub>
                      </m:e>
                    </m:nary>
                  </m:den>
                </m:f>
              </m:oMath>
            </m:oMathPara>
          </w:p>
        </w:tc>
        <w:tc>
          <w:tcPr>
            <w:tcW w:w="1294" w:type="dxa"/>
            <w:vAlign w:val="center"/>
          </w:tcPr>
          <w:p w:rsidR="00FB4243" w:rsidRPr="00B9779D" w:rsidRDefault="00A75C62" w:rsidP="00591E11">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Sc</m:t>
                    </m:r>
                  </m:e>
                  <m:sub>
                    <m:r>
                      <w:rPr>
                        <w:rFonts w:ascii="Cambria Math" w:hAnsi="Cambria Math" w:cs="Times New Roman"/>
                        <w:sz w:val="28"/>
                        <w:szCs w:val="28"/>
                      </w:rPr>
                      <m:t>1</m:t>
                    </m:r>
                  </m:sub>
                </m:sSub>
              </m:oMath>
            </m:oMathPara>
          </w:p>
        </w:tc>
        <w:tc>
          <w:tcPr>
            <w:tcW w:w="2026" w:type="dxa"/>
            <w:vAlign w:val="center"/>
          </w:tcPr>
          <w:p w:rsidR="00FB4243" w:rsidRPr="00B9779D" w:rsidRDefault="00A75C62" w:rsidP="00B84FF4">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1-Sc</m:t>
                    </m:r>
                  </m:e>
                  <m:sub>
                    <m:r>
                      <w:rPr>
                        <w:rFonts w:ascii="Cambria Math" w:hAnsi="Cambria Math" w:cs="Times New Roman"/>
                        <w:sz w:val="28"/>
                        <w:szCs w:val="28"/>
                      </w:rPr>
                      <m:t>1</m:t>
                    </m:r>
                  </m:sub>
                </m:sSub>
              </m:oMath>
            </m:oMathPara>
          </w:p>
        </w:tc>
        <w:tc>
          <w:tcPr>
            <w:tcW w:w="547" w:type="dxa"/>
            <w:vAlign w:val="center"/>
          </w:tcPr>
          <w:p w:rsidR="00FB4243" w:rsidRDefault="00FB4243" w:rsidP="00591E11">
            <w:pPr>
              <w:spacing w:line="240" w:lineRule="auto"/>
              <w:jc w:val="center"/>
            </w:pPr>
            <w:r w:rsidRPr="00F91A0E">
              <w:rPr>
                <w:rFonts w:ascii="Times New Roman" w:eastAsiaTheme="minorEastAsia" w:hAnsi="Times New Roman" w:cs="Times New Roman"/>
                <w:b/>
                <w:bCs/>
                <w:sz w:val="20"/>
                <w:szCs w:val="20"/>
              </w:rPr>
              <w:t>…</w:t>
            </w:r>
          </w:p>
        </w:tc>
        <w:tc>
          <w:tcPr>
            <w:tcW w:w="1915" w:type="dxa"/>
            <w:vAlign w:val="center"/>
          </w:tcPr>
          <w:p w:rsidR="00FB4243" w:rsidRPr="00B9779D" w:rsidRDefault="00A75C62" w:rsidP="00F96176">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El</m:t>
                    </m:r>
                  </m:e>
                  <m:sub>
                    <m:r>
                      <w:rPr>
                        <w:rFonts w:ascii="Cambria Math" w:hAnsi="Cambria Math" w:cs="Times New Roman"/>
                        <w:sz w:val="28"/>
                        <w:szCs w:val="28"/>
                      </w:rPr>
                      <m:t>1</m:t>
                    </m:r>
                  </m:sub>
                </m:sSub>
              </m:oMath>
            </m:oMathPara>
          </w:p>
        </w:tc>
        <w:tc>
          <w:tcPr>
            <w:tcW w:w="2907" w:type="dxa"/>
            <w:vAlign w:val="center"/>
          </w:tcPr>
          <w:p w:rsidR="00FB4243" w:rsidRPr="00B9779D" w:rsidRDefault="00A75C62" w:rsidP="004B1995">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1-El</m:t>
                    </m:r>
                  </m:e>
                  <m:sub>
                    <m:r>
                      <w:rPr>
                        <w:rFonts w:ascii="Cambria Math" w:hAnsi="Cambria Math" w:cs="Times New Roman"/>
                        <w:sz w:val="28"/>
                        <w:szCs w:val="28"/>
                      </w:rPr>
                      <m:t>1</m:t>
                    </m:r>
                  </m:sub>
                </m:sSub>
              </m:oMath>
            </m:oMathPara>
          </w:p>
        </w:tc>
      </w:tr>
      <w:tr w:rsidR="00D42346" w:rsidRPr="00B9779D" w:rsidTr="00DF1B45">
        <w:trPr>
          <w:trHeight w:val="72"/>
          <w:jc w:val="center"/>
        </w:trPr>
        <w:tc>
          <w:tcPr>
            <w:tcW w:w="1124" w:type="dxa"/>
            <w:vAlign w:val="center"/>
          </w:tcPr>
          <w:p w:rsidR="00FB4243" w:rsidRPr="00B9779D" w:rsidRDefault="00FB4243" w:rsidP="00591E11">
            <w:pPr>
              <w:spacing w:after="0" w:line="240" w:lineRule="auto"/>
              <w:jc w:val="center"/>
              <w:rPr>
                <w:rFonts w:ascii="Times New Roman" w:eastAsiaTheme="minorEastAsia" w:hAnsi="Times New Roman" w:cs="Times New Roman"/>
                <w:bCs/>
                <w:sz w:val="28"/>
                <w:szCs w:val="28"/>
              </w:rPr>
            </w:pPr>
            <w:r w:rsidRPr="00B9779D">
              <w:rPr>
                <w:rFonts w:ascii="Times New Roman" w:eastAsiaTheme="minorEastAsia" w:hAnsi="Times New Roman" w:cs="Times New Roman"/>
                <w:bCs/>
                <w:sz w:val="28"/>
                <w:szCs w:val="28"/>
              </w:rPr>
              <w:t>…</w:t>
            </w:r>
          </w:p>
        </w:tc>
        <w:tc>
          <w:tcPr>
            <w:tcW w:w="1186" w:type="dxa"/>
            <w:vAlign w:val="center"/>
          </w:tcPr>
          <w:p w:rsidR="00FB4243" w:rsidRPr="00B9779D" w:rsidRDefault="00FB4243" w:rsidP="00591E11">
            <w:pPr>
              <w:spacing w:after="0" w:line="240" w:lineRule="auto"/>
              <w:jc w:val="center"/>
              <w:rPr>
                <w:rFonts w:ascii="Times New Roman" w:eastAsiaTheme="minorEastAsia" w:hAnsi="Times New Roman" w:cs="Times New Roman"/>
                <w:bCs/>
                <w:sz w:val="28"/>
                <w:szCs w:val="28"/>
              </w:rPr>
            </w:pPr>
            <w:r w:rsidRPr="00B9779D">
              <w:rPr>
                <w:rFonts w:ascii="Times New Roman" w:eastAsiaTheme="minorEastAsia" w:hAnsi="Times New Roman" w:cs="Times New Roman"/>
                <w:bCs/>
                <w:sz w:val="28"/>
                <w:szCs w:val="28"/>
              </w:rPr>
              <w:t>…</w:t>
            </w:r>
          </w:p>
        </w:tc>
        <w:tc>
          <w:tcPr>
            <w:tcW w:w="1689" w:type="dxa"/>
            <w:vAlign w:val="center"/>
          </w:tcPr>
          <w:p w:rsidR="00FB4243" w:rsidRPr="00B9779D" w:rsidRDefault="00FB4243" w:rsidP="00591E11">
            <w:pPr>
              <w:spacing w:after="0" w:line="240" w:lineRule="auto"/>
              <w:jc w:val="center"/>
              <w:rPr>
                <w:rFonts w:ascii="Times New Roman" w:eastAsia="Calibri" w:hAnsi="Times New Roman" w:cs="Times New Roman"/>
                <w:bCs/>
                <w:sz w:val="28"/>
                <w:szCs w:val="28"/>
              </w:rPr>
            </w:pPr>
            <w:r w:rsidRPr="00B9779D">
              <w:rPr>
                <w:rFonts w:ascii="Times New Roman" w:eastAsiaTheme="minorEastAsia" w:hAnsi="Times New Roman" w:cs="Times New Roman"/>
                <w:bCs/>
                <w:sz w:val="28"/>
                <w:szCs w:val="28"/>
              </w:rPr>
              <w:t>…</w:t>
            </w:r>
          </w:p>
        </w:tc>
        <w:tc>
          <w:tcPr>
            <w:tcW w:w="2049" w:type="dxa"/>
            <w:vAlign w:val="center"/>
          </w:tcPr>
          <w:p w:rsidR="00FB4243" w:rsidRPr="00B9779D" w:rsidRDefault="00FB4243" w:rsidP="00591E11">
            <w:pPr>
              <w:spacing w:after="0" w:line="240" w:lineRule="auto"/>
              <w:jc w:val="center"/>
              <w:rPr>
                <w:rFonts w:ascii="Times New Roman" w:eastAsia="Times New Roman" w:hAnsi="Times New Roman" w:cs="Times New Roman"/>
                <w:bCs/>
                <w:sz w:val="28"/>
                <w:szCs w:val="28"/>
              </w:rPr>
            </w:pPr>
            <w:r w:rsidRPr="00B9779D">
              <w:rPr>
                <w:rFonts w:ascii="Times New Roman" w:eastAsiaTheme="minorEastAsia" w:hAnsi="Times New Roman" w:cs="Times New Roman"/>
                <w:bCs/>
                <w:sz w:val="28"/>
                <w:szCs w:val="28"/>
              </w:rPr>
              <w:t>…</w:t>
            </w:r>
          </w:p>
        </w:tc>
        <w:tc>
          <w:tcPr>
            <w:tcW w:w="1294" w:type="dxa"/>
            <w:vAlign w:val="center"/>
          </w:tcPr>
          <w:p w:rsidR="00FB4243" w:rsidRPr="00B9779D" w:rsidRDefault="00FB4243" w:rsidP="00591E11">
            <w:pPr>
              <w:spacing w:after="0" w:line="240" w:lineRule="auto"/>
              <w:jc w:val="center"/>
              <w:rPr>
                <w:rFonts w:ascii="Times New Roman" w:hAnsi="Times New Roman" w:cs="Times New Roman"/>
                <w:sz w:val="28"/>
                <w:szCs w:val="28"/>
              </w:rPr>
            </w:pPr>
            <w:r w:rsidRPr="00B9779D">
              <w:rPr>
                <w:rFonts w:ascii="Times New Roman" w:eastAsiaTheme="minorEastAsia" w:hAnsi="Times New Roman" w:cs="Times New Roman"/>
                <w:bCs/>
                <w:sz w:val="28"/>
                <w:szCs w:val="28"/>
              </w:rPr>
              <w:t>…</w:t>
            </w:r>
          </w:p>
        </w:tc>
        <w:tc>
          <w:tcPr>
            <w:tcW w:w="2026" w:type="dxa"/>
            <w:vAlign w:val="center"/>
          </w:tcPr>
          <w:p w:rsidR="00FB4243" w:rsidRPr="00B9779D" w:rsidRDefault="00FB4243" w:rsidP="00591E11">
            <w:pPr>
              <w:spacing w:after="0" w:line="240" w:lineRule="auto"/>
              <w:jc w:val="center"/>
              <w:rPr>
                <w:rFonts w:ascii="Times New Roman" w:hAnsi="Times New Roman" w:cs="Times New Roman"/>
                <w:sz w:val="28"/>
                <w:szCs w:val="28"/>
              </w:rPr>
            </w:pPr>
            <w:r w:rsidRPr="00B9779D">
              <w:rPr>
                <w:rFonts w:ascii="Times New Roman" w:eastAsiaTheme="minorEastAsia" w:hAnsi="Times New Roman" w:cs="Times New Roman"/>
                <w:bCs/>
                <w:sz w:val="28"/>
                <w:szCs w:val="28"/>
              </w:rPr>
              <w:t>…</w:t>
            </w:r>
          </w:p>
        </w:tc>
        <w:tc>
          <w:tcPr>
            <w:tcW w:w="547" w:type="dxa"/>
            <w:vAlign w:val="center"/>
          </w:tcPr>
          <w:p w:rsidR="00FB4243" w:rsidRDefault="00FB4243" w:rsidP="00591E11">
            <w:pPr>
              <w:spacing w:line="240" w:lineRule="auto"/>
              <w:jc w:val="center"/>
            </w:pPr>
            <w:r w:rsidRPr="00F91A0E">
              <w:rPr>
                <w:rFonts w:ascii="Times New Roman" w:eastAsiaTheme="minorEastAsia" w:hAnsi="Times New Roman" w:cs="Times New Roman"/>
                <w:b/>
                <w:bCs/>
                <w:sz w:val="20"/>
                <w:szCs w:val="20"/>
              </w:rPr>
              <w:t>…</w:t>
            </w:r>
          </w:p>
        </w:tc>
        <w:tc>
          <w:tcPr>
            <w:tcW w:w="1915" w:type="dxa"/>
            <w:vAlign w:val="center"/>
          </w:tcPr>
          <w:p w:rsidR="00FB4243" w:rsidRPr="00B9779D" w:rsidRDefault="00FB4243" w:rsidP="00591E11">
            <w:pPr>
              <w:spacing w:after="0" w:line="240" w:lineRule="auto"/>
              <w:jc w:val="center"/>
              <w:rPr>
                <w:rFonts w:ascii="Times New Roman" w:hAnsi="Times New Roman" w:cs="Times New Roman"/>
                <w:sz w:val="28"/>
                <w:szCs w:val="28"/>
              </w:rPr>
            </w:pPr>
            <w:r w:rsidRPr="00B9779D">
              <w:rPr>
                <w:rFonts w:ascii="Times New Roman" w:eastAsiaTheme="minorEastAsia" w:hAnsi="Times New Roman" w:cs="Times New Roman"/>
                <w:bCs/>
                <w:sz w:val="28"/>
                <w:szCs w:val="28"/>
              </w:rPr>
              <w:t>…</w:t>
            </w:r>
          </w:p>
        </w:tc>
        <w:tc>
          <w:tcPr>
            <w:tcW w:w="2907" w:type="dxa"/>
            <w:vAlign w:val="center"/>
          </w:tcPr>
          <w:p w:rsidR="00FB4243" w:rsidRPr="00B9779D" w:rsidRDefault="00FB4243" w:rsidP="00591E11">
            <w:pPr>
              <w:spacing w:after="0" w:line="240" w:lineRule="auto"/>
              <w:jc w:val="center"/>
              <w:rPr>
                <w:rFonts w:ascii="Times New Roman" w:hAnsi="Times New Roman" w:cs="Times New Roman"/>
                <w:sz w:val="28"/>
                <w:szCs w:val="28"/>
              </w:rPr>
            </w:pPr>
            <w:r w:rsidRPr="00B9779D">
              <w:rPr>
                <w:rFonts w:ascii="Times New Roman" w:eastAsiaTheme="minorEastAsia" w:hAnsi="Times New Roman" w:cs="Times New Roman"/>
                <w:bCs/>
                <w:sz w:val="28"/>
                <w:szCs w:val="28"/>
              </w:rPr>
              <w:t>…</w:t>
            </w:r>
          </w:p>
        </w:tc>
      </w:tr>
      <w:tr w:rsidR="00D42346" w:rsidRPr="00B9779D" w:rsidTr="00DF1B45">
        <w:trPr>
          <w:jc w:val="center"/>
        </w:trPr>
        <w:tc>
          <w:tcPr>
            <w:tcW w:w="1124" w:type="dxa"/>
            <w:vAlign w:val="center"/>
          </w:tcPr>
          <w:p w:rsidR="00FB4243" w:rsidRPr="00B9779D" w:rsidRDefault="00795472" w:rsidP="00591E11">
            <w:pPr>
              <w:spacing w:after="0" w:line="360" w:lineRule="auto"/>
              <w:jc w:val="center"/>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q</w:t>
            </w:r>
          </w:p>
        </w:tc>
        <w:tc>
          <w:tcPr>
            <w:tcW w:w="1186" w:type="dxa"/>
            <w:vAlign w:val="center"/>
          </w:tcPr>
          <w:p w:rsidR="00FB4243" w:rsidRPr="00B9779D" w:rsidRDefault="00FB4243" w:rsidP="00591E11">
            <w:pPr>
              <w:spacing w:after="0" w:line="360" w:lineRule="auto"/>
              <w:jc w:val="center"/>
              <w:rPr>
                <w:rFonts w:ascii="Times New Roman" w:hAnsi="Times New Roman" w:cs="Times New Roman"/>
                <w:sz w:val="28"/>
                <w:szCs w:val="28"/>
              </w:rPr>
            </w:pPr>
            <w:r w:rsidRPr="00B9779D">
              <w:rPr>
                <w:rFonts w:ascii="Times New Roman" w:eastAsiaTheme="minorEastAsia" w:hAnsi="Times New Roman" w:cs="Times New Roman"/>
                <w:bCs/>
                <w:sz w:val="28"/>
                <w:szCs w:val="28"/>
              </w:rPr>
              <w:t>1</w:t>
            </w:r>
          </w:p>
        </w:tc>
        <w:tc>
          <w:tcPr>
            <w:tcW w:w="1689" w:type="dxa"/>
            <w:vAlign w:val="center"/>
          </w:tcPr>
          <w:p w:rsidR="00FB4243" w:rsidRPr="00B9779D" w:rsidRDefault="00A75C62" w:rsidP="00795472">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P</m:t>
                    </m:r>
                  </m:e>
                  <m:sub>
                    <m:r>
                      <w:rPr>
                        <w:rFonts w:ascii="Cambria Math" w:hAnsi="Cambria Math" w:cs="Times New Roman"/>
                        <w:sz w:val="28"/>
                        <w:szCs w:val="28"/>
                      </w:rPr>
                      <m:t>q</m:t>
                    </m:r>
                  </m:sub>
                </m:sSub>
              </m:oMath>
            </m:oMathPara>
          </w:p>
        </w:tc>
        <w:tc>
          <w:tcPr>
            <w:tcW w:w="2049" w:type="dxa"/>
            <w:vAlign w:val="center"/>
          </w:tcPr>
          <w:p w:rsidR="00FB4243" w:rsidRPr="00B9779D" w:rsidRDefault="00A75C62" w:rsidP="00795472">
            <w:pPr>
              <w:spacing w:after="0" w:line="360" w:lineRule="auto"/>
              <w:jc w:val="center"/>
              <w:rPr>
                <w:rFonts w:ascii="Times New Roman" w:eastAsiaTheme="minorEastAsia" w:hAnsi="Times New Roman" w:cs="Times New Roman"/>
                <w:bCs/>
                <w:sz w:val="28"/>
                <w:szCs w:val="28"/>
              </w:rPr>
            </w:pPr>
            <m:oMathPara>
              <m:oMath>
                <m:f>
                  <m:fPr>
                    <m:ctrlPr>
                      <w:rPr>
                        <w:rFonts w:ascii="Cambria Math" w:hAnsi="Cambria Math" w:cs="Times New Roman"/>
                        <w:bCs/>
                        <w:i/>
                        <w:sz w:val="28"/>
                        <w:szCs w:val="28"/>
                      </w:rPr>
                    </m:ctrlPr>
                  </m:fPr>
                  <m:num>
                    <m:sSub>
                      <m:sSubPr>
                        <m:ctrlPr>
                          <w:rPr>
                            <w:rFonts w:ascii="Cambria Math" w:hAnsi="Cambria Math" w:cs="Times New Roman"/>
                            <w:bCs/>
                            <w:i/>
                            <w:sz w:val="28"/>
                            <w:szCs w:val="28"/>
                          </w:rPr>
                        </m:ctrlPr>
                      </m:sSubPr>
                      <m:e>
                        <m:r>
                          <w:rPr>
                            <w:rFonts w:ascii="Cambria Math" w:hAnsi="Cambria Math" w:cs="Times New Roman"/>
                            <w:sz w:val="28"/>
                            <w:szCs w:val="28"/>
                          </w:rPr>
                          <m:t>P</m:t>
                        </m:r>
                      </m:e>
                      <m:sub>
                        <m:r>
                          <w:rPr>
                            <w:rFonts w:ascii="Cambria Math" w:hAnsi="Cambria Math" w:cs="Times New Roman"/>
                            <w:sz w:val="28"/>
                            <w:szCs w:val="28"/>
                          </w:rPr>
                          <m:t>q</m:t>
                        </m:r>
                      </m:sub>
                    </m:sSub>
                  </m:num>
                  <m:den>
                    <m:nary>
                      <m:naryPr>
                        <m:chr m:val="∑"/>
                        <m:limLoc m:val="undOvr"/>
                        <m:ctrlPr>
                          <w:rPr>
                            <w:rFonts w:ascii="Cambria Math" w:hAnsi="Cambria Math" w:cs="Times New Roman"/>
                            <w:bCs/>
                            <w:i/>
                            <w:sz w:val="28"/>
                            <w:szCs w:val="28"/>
                          </w:rPr>
                        </m:ctrlPr>
                      </m:naryPr>
                      <m:sub>
                        <m:r>
                          <w:rPr>
                            <w:rFonts w:ascii="Cambria Math" w:hAnsi="Cambria Math" w:cs="Times New Roman"/>
                            <w:sz w:val="28"/>
                            <w:szCs w:val="28"/>
                          </w:rPr>
                          <m:t>k=1</m:t>
                        </m:r>
                      </m:sub>
                      <m:sup>
                        <m:r>
                          <w:rPr>
                            <w:rFonts w:ascii="Cambria Math" w:hAnsi="Cambria Math" w:cs="Times New Roman"/>
                            <w:sz w:val="28"/>
                            <w:szCs w:val="28"/>
                          </w:rPr>
                          <m:t>360</m:t>
                        </m:r>
                      </m:sup>
                      <m:e>
                        <m:sSub>
                          <m:sSubPr>
                            <m:ctrlPr>
                              <w:rPr>
                                <w:rFonts w:ascii="Cambria Math" w:hAnsi="Cambria Math" w:cs="Times New Roman"/>
                                <w:bCs/>
                                <w:i/>
                                <w:sz w:val="28"/>
                                <w:szCs w:val="28"/>
                              </w:rPr>
                            </m:ctrlPr>
                          </m:sSubPr>
                          <m:e>
                            <m:r>
                              <w:rPr>
                                <w:rFonts w:ascii="Cambria Math" w:hAnsi="Cambria Math" w:cs="Times New Roman"/>
                                <w:sz w:val="28"/>
                                <w:szCs w:val="28"/>
                              </w:rPr>
                              <m:t>P</m:t>
                            </m:r>
                          </m:e>
                          <m:sub>
                            <m:r>
                              <w:rPr>
                                <w:rFonts w:ascii="Cambria Math" w:hAnsi="Cambria Math" w:cs="Times New Roman"/>
                                <w:sz w:val="28"/>
                                <w:szCs w:val="28"/>
                              </w:rPr>
                              <m:t>k</m:t>
                            </m:r>
                          </m:sub>
                        </m:sSub>
                      </m:e>
                    </m:nary>
                  </m:den>
                </m:f>
              </m:oMath>
            </m:oMathPara>
          </w:p>
        </w:tc>
        <w:tc>
          <w:tcPr>
            <w:tcW w:w="1294" w:type="dxa"/>
            <w:vAlign w:val="center"/>
          </w:tcPr>
          <w:p w:rsidR="00FB4243" w:rsidRPr="00B9779D" w:rsidRDefault="00A75C62" w:rsidP="00795472">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Sc</m:t>
                    </m:r>
                  </m:e>
                  <m:sub>
                    <m:r>
                      <w:rPr>
                        <w:rFonts w:ascii="Cambria Math" w:hAnsi="Cambria Math" w:cs="Times New Roman"/>
                        <w:sz w:val="28"/>
                        <w:szCs w:val="28"/>
                      </w:rPr>
                      <m:t>q</m:t>
                    </m:r>
                  </m:sub>
                </m:sSub>
              </m:oMath>
            </m:oMathPara>
          </w:p>
        </w:tc>
        <w:tc>
          <w:tcPr>
            <w:tcW w:w="2026" w:type="dxa"/>
            <w:vAlign w:val="center"/>
          </w:tcPr>
          <w:p w:rsidR="00FB4243" w:rsidRPr="00B9779D" w:rsidRDefault="00A75C62" w:rsidP="00B84FF4">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1-Sc</m:t>
                    </m:r>
                  </m:e>
                  <m:sub>
                    <m:r>
                      <w:rPr>
                        <w:rFonts w:ascii="Cambria Math" w:hAnsi="Cambria Math" w:cs="Times New Roman"/>
                        <w:sz w:val="28"/>
                        <w:szCs w:val="28"/>
                      </w:rPr>
                      <m:t>q</m:t>
                    </m:r>
                  </m:sub>
                </m:sSub>
              </m:oMath>
            </m:oMathPara>
          </w:p>
        </w:tc>
        <w:tc>
          <w:tcPr>
            <w:tcW w:w="547" w:type="dxa"/>
            <w:vAlign w:val="center"/>
          </w:tcPr>
          <w:p w:rsidR="00FB4243" w:rsidRDefault="00FB4243" w:rsidP="00591E11">
            <w:pPr>
              <w:spacing w:line="240" w:lineRule="auto"/>
              <w:jc w:val="center"/>
            </w:pPr>
            <w:r w:rsidRPr="00F91A0E">
              <w:rPr>
                <w:rFonts w:ascii="Times New Roman" w:eastAsiaTheme="minorEastAsia" w:hAnsi="Times New Roman" w:cs="Times New Roman"/>
                <w:b/>
                <w:bCs/>
                <w:sz w:val="20"/>
                <w:szCs w:val="20"/>
              </w:rPr>
              <w:t>…</w:t>
            </w:r>
          </w:p>
        </w:tc>
        <w:tc>
          <w:tcPr>
            <w:tcW w:w="1915" w:type="dxa"/>
            <w:vAlign w:val="center"/>
          </w:tcPr>
          <w:p w:rsidR="00FB4243" w:rsidRPr="00B9779D" w:rsidRDefault="00A75C62" w:rsidP="00795472">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El</m:t>
                    </m:r>
                  </m:e>
                  <m:sub>
                    <m:r>
                      <w:rPr>
                        <w:rFonts w:ascii="Cambria Math" w:hAnsi="Cambria Math" w:cs="Times New Roman"/>
                        <w:sz w:val="28"/>
                        <w:szCs w:val="28"/>
                      </w:rPr>
                      <m:t>q</m:t>
                    </m:r>
                  </m:sub>
                </m:sSub>
              </m:oMath>
            </m:oMathPara>
          </w:p>
        </w:tc>
        <w:tc>
          <w:tcPr>
            <w:tcW w:w="2907" w:type="dxa"/>
            <w:vAlign w:val="center"/>
          </w:tcPr>
          <w:p w:rsidR="00FB4243" w:rsidRPr="00B9779D" w:rsidRDefault="00A75C62" w:rsidP="004B1995">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1-El</m:t>
                    </m:r>
                  </m:e>
                  <m:sub>
                    <m:r>
                      <w:rPr>
                        <w:rFonts w:ascii="Cambria Math" w:hAnsi="Cambria Math" w:cs="Times New Roman"/>
                        <w:sz w:val="28"/>
                        <w:szCs w:val="28"/>
                      </w:rPr>
                      <m:t>q</m:t>
                    </m:r>
                  </m:sub>
                </m:sSub>
              </m:oMath>
            </m:oMathPara>
          </w:p>
        </w:tc>
      </w:tr>
      <w:tr w:rsidR="00D42346" w:rsidRPr="00B9779D" w:rsidTr="00DF1B45">
        <w:trPr>
          <w:trHeight w:val="72"/>
          <w:jc w:val="center"/>
        </w:trPr>
        <w:tc>
          <w:tcPr>
            <w:tcW w:w="1124" w:type="dxa"/>
            <w:vAlign w:val="center"/>
          </w:tcPr>
          <w:p w:rsidR="00FB4243" w:rsidRPr="00B9779D" w:rsidRDefault="00FB4243" w:rsidP="00591E11">
            <w:pPr>
              <w:spacing w:after="0" w:line="240" w:lineRule="auto"/>
              <w:jc w:val="center"/>
              <w:rPr>
                <w:rFonts w:ascii="Times New Roman" w:eastAsiaTheme="minorEastAsia" w:hAnsi="Times New Roman" w:cs="Times New Roman"/>
                <w:bCs/>
                <w:sz w:val="28"/>
                <w:szCs w:val="28"/>
              </w:rPr>
            </w:pPr>
            <w:r w:rsidRPr="00B9779D">
              <w:rPr>
                <w:rFonts w:ascii="Times New Roman" w:eastAsiaTheme="minorEastAsia" w:hAnsi="Times New Roman" w:cs="Times New Roman"/>
                <w:bCs/>
                <w:sz w:val="28"/>
                <w:szCs w:val="28"/>
              </w:rPr>
              <w:t>…</w:t>
            </w:r>
          </w:p>
        </w:tc>
        <w:tc>
          <w:tcPr>
            <w:tcW w:w="1186" w:type="dxa"/>
            <w:vAlign w:val="center"/>
          </w:tcPr>
          <w:p w:rsidR="00FB4243" w:rsidRPr="00B9779D" w:rsidRDefault="00FB4243" w:rsidP="00591E11">
            <w:pPr>
              <w:spacing w:after="0" w:line="240" w:lineRule="auto"/>
              <w:jc w:val="center"/>
              <w:rPr>
                <w:rFonts w:ascii="Times New Roman" w:eastAsiaTheme="minorEastAsia" w:hAnsi="Times New Roman" w:cs="Times New Roman"/>
                <w:bCs/>
                <w:sz w:val="28"/>
                <w:szCs w:val="28"/>
              </w:rPr>
            </w:pPr>
            <w:r w:rsidRPr="00B9779D">
              <w:rPr>
                <w:rFonts w:ascii="Times New Roman" w:eastAsiaTheme="minorEastAsia" w:hAnsi="Times New Roman" w:cs="Times New Roman"/>
                <w:bCs/>
                <w:sz w:val="28"/>
                <w:szCs w:val="28"/>
              </w:rPr>
              <w:t>…</w:t>
            </w:r>
          </w:p>
        </w:tc>
        <w:tc>
          <w:tcPr>
            <w:tcW w:w="1689" w:type="dxa"/>
            <w:vAlign w:val="center"/>
          </w:tcPr>
          <w:p w:rsidR="00FB4243" w:rsidRPr="00B9779D" w:rsidRDefault="00FB4243" w:rsidP="00591E11">
            <w:pPr>
              <w:spacing w:after="0" w:line="240" w:lineRule="auto"/>
              <w:jc w:val="center"/>
              <w:rPr>
                <w:rFonts w:ascii="Times New Roman" w:eastAsia="Calibri" w:hAnsi="Times New Roman" w:cs="Times New Roman"/>
                <w:bCs/>
                <w:sz w:val="28"/>
                <w:szCs w:val="28"/>
              </w:rPr>
            </w:pPr>
            <w:r w:rsidRPr="00B9779D">
              <w:rPr>
                <w:rFonts w:ascii="Times New Roman" w:eastAsiaTheme="minorEastAsia" w:hAnsi="Times New Roman" w:cs="Times New Roman"/>
                <w:bCs/>
                <w:sz w:val="28"/>
                <w:szCs w:val="28"/>
              </w:rPr>
              <w:t>…</w:t>
            </w:r>
          </w:p>
        </w:tc>
        <w:tc>
          <w:tcPr>
            <w:tcW w:w="2049" w:type="dxa"/>
            <w:vAlign w:val="center"/>
          </w:tcPr>
          <w:p w:rsidR="00FB4243" w:rsidRPr="00B9779D" w:rsidRDefault="00FB4243" w:rsidP="00591E11">
            <w:pPr>
              <w:spacing w:after="0" w:line="240" w:lineRule="auto"/>
              <w:jc w:val="center"/>
              <w:rPr>
                <w:rFonts w:ascii="Times New Roman" w:eastAsia="Times New Roman" w:hAnsi="Times New Roman" w:cs="Times New Roman"/>
                <w:bCs/>
                <w:sz w:val="28"/>
                <w:szCs w:val="28"/>
              </w:rPr>
            </w:pPr>
            <w:r w:rsidRPr="00B9779D">
              <w:rPr>
                <w:rFonts w:ascii="Times New Roman" w:eastAsiaTheme="minorEastAsia" w:hAnsi="Times New Roman" w:cs="Times New Roman"/>
                <w:bCs/>
                <w:sz w:val="28"/>
                <w:szCs w:val="28"/>
              </w:rPr>
              <w:t>…</w:t>
            </w:r>
          </w:p>
        </w:tc>
        <w:tc>
          <w:tcPr>
            <w:tcW w:w="1294" w:type="dxa"/>
            <w:vAlign w:val="center"/>
          </w:tcPr>
          <w:p w:rsidR="00FB4243" w:rsidRPr="00B9779D" w:rsidRDefault="00FB4243" w:rsidP="00591E11">
            <w:pPr>
              <w:spacing w:after="0" w:line="240" w:lineRule="auto"/>
              <w:jc w:val="center"/>
              <w:rPr>
                <w:rFonts w:ascii="Times New Roman" w:hAnsi="Times New Roman" w:cs="Times New Roman"/>
                <w:sz w:val="28"/>
                <w:szCs w:val="28"/>
              </w:rPr>
            </w:pPr>
            <w:r w:rsidRPr="00B9779D">
              <w:rPr>
                <w:rFonts w:ascii="Times New Roman" w:eastAsiaTheme="minorEastAsia" w:hAnsi="Times New Roman" w:cs="Times New Roman"/>
                <w:bCs/>
                <w:sz w:val="28"/>
                <w:szCs w:val="28"/>
              </w:rPr>
              <w:t>…</w:t>
            </w:r>
          </w:p>
        </w:tc>
        <w:tc>
          <w:tcPr>
            <w:tcW w:w="2026" w:type="dxa"/>
            <w:vAlign w:val="center"/>
          </w:tcPr>
          <w:p w:rsidR="00FB4243" w:rsidRPr="00B9779D" w:rsidRDefault="00FB4243" w:rsidP="00591E11">
            <w:pPr>
              <w:spacing w:after="0" w:line="240" w:lineRule="auto"/>
              <w:jc w:val="center"/>
              <w:rPr>
                <w:rFonts w:ascii="Times New Roman" w:hAnsi="Times New Roman" w:cs="Times New Roman"/>
                <w:sz w:val="28"/>
                <w:szCs w:val="28"/>
              </w:rPr>
            </w:pPr>
            <w:r w:rsidRPr="00B9779D">
              <w:rPr>
                <w:rFonts w:ascii="Times New Roman" w:eastAsiaTheme="minorEastAsia" w:hAnsi="Times New Roman" w:cs="Times New Roman"/>
                <w:bCs/>
                <w:sz w:val="28"/>
                <w:szCs w:val="28"/>
              </w:rPr>
              <w:t>…</w:t>
            </w:r>
          </w:p>
        </w:tc>
        <w:tc>
          <w:tcPr>
            <w:tcW w:w="547" w:type="dxa"/>
            <w:vAlign w:val="center"/>
          </w:tcPr>
          <w:p w:rsidR="00FB4243" w:rsidRDefault="00FB4243" w:rsidP="00591E11">
            <w:pPr>
              <w:spacing w:line="240" w:lineRule="auto"/>
              <w:jc w:val="center"/>
            </w:pPr>
            <w:r w:rsidRPr="00F91A0E">
              <w:rPr>
                <w:rFonts w:ascii="Times New Roman" w:eastAsiaTheme="minorEastAsia" w:hAnsi="Times New Roman" w:cs="Times New Roman"/>
                <w:b/>
                <w:bCs/>
                <w:sz w:val="20"/>
                <w:szCs w:val="20"/>
              </w:rPr>
              <w:t>…</w:t>
            </w:r>
          </w:p>
        </w:tc>
        <w:tc>
          <w:tcPr>
            <w:tcW w:w="1915" w:type="dxa"/>
            <w:vAlign w:val="center"/>
          </w:tcPr>
          <w:p w:rsidR="00FB4243" w:rsidRPr="00B9779D" w:rsidRDefault="00FB4243" w:rsidP="00591E11">
            <w:pPr>
              <w:spacing w:after="0" w:line="240" w:lineRule="auto"/>
              <w:jc w:val="center"/>
              <w:rPr>
                <w:rFonts w:ascii="Times New Roman" w:hAnsi="Times New Roman" w:cs="Times New Roman"/>
                <w:sz w:val="28"/>
                <w:szCs w:val="28"/>
              </w:rPr>
            </w:pPr>
            <w:r w:rsidRPr="00B9779D">
              <w:rPr>
                <w:rFonts w:ascii="Times New Roman" w:eastAsiaTheme="minorEastAsia" w:hAnsi="Times New Roman" w:cs="Times New Roman"/>
                <w:bCs/>
                <w:sz w:val="28"/>
                <w:szCs w:val="28"/>
              </w:rPr>
              <w:t>…</w:t>
            </w:r>
          </w:p>
        </w:tc>
        <w:tc>
          <w:tcPr>
            <w:tcW w:w="2907" w:type="dxa"/>
            <w:vAlign w:val="center"/>
          </w:tcPr>
          <w:p w:rsidR="00FB4243" w:rsidRPr="00B9779D" w:rsidRDefault="00FB4243" w:rsidP="00591E11">
            <w:pPr>
              <w:spacing w:after="0" w:line="240" w:lineRule="auto"/>
              <w:jc w:val="center"/>
              <w:rPr>
                <w:rFonts w:ascii="Times New Roman" w:hAnsi="Times New Roman" w:cs="Times New Roman"/>
                <w:sz w:val="28"/>
                <w:szCs w:val="28"/>
              </w:rPr>
            </w:pPr>
            <w:r w:rsidRPr="00B9779D">
              <w:rPr>
                <w:rFonts w:ascii="Times New Roman" w:eastAsiaTheme="minorEastAsia" w:hAnsi="Times New Roman" w:cs="Times New Roman"/>
                <w:bCs/>
                <w:sz w:val="28"/>
                <w:szCs w:val="28"/>
              </w:rPr>
              <w:t>…</w:t>
            </w:r>
          </w:p>
        </w:tc>
      </w:tr>
      <w:tr w:rsidR="00D42346" w:rsidRPr="00B9779D" w:rsidTr="00DF1B45">
        <w:trPr>
          <w:jc w:val="center"/>
        </w:trPr>
        <w:tc>
          <w:tcPr>
            <w:tcW w:w="1124" w:type="dxa"/>
            <w:vAlign w:val="center"/>
          </w:tcPr>
          <w:p w:rsidR="00FB4243" w:rsidRPr="00B9779D" w:rsidRDefault="00FB4243" w:rsidP="00591E11">
            <w:pPr>
              <w:spacing w:after="0" w:line="360" w:lineRule="auto"/>
              <w:jc w:val="center"/>
              <w:rPr>
                <w:rFonts w:ascii="Times New Roman" w:eastAsiaTheme="minorEastAsia" w:hAnsi="Times New Roman" w:cs="Times New Roman"/>
                <w:bCs/>
                <w:sz w:val="28"/>
                <w:szCs w:val="28"/>
              </w:rPr>
            </w:pPr>
            <w:r w:rsidRPr="00B9779D">
              <w:rPr>
                <w:rFonts w:ascii="Times New Roman" w:eastAsiaTheme="minorEastAsia" w:hAnsi="Times New Roman" w:cs="Times New Roman"/>
                <w:bCs/>
                <w:sz w:val="28"/>
                <w:szCs w:val="28"/>
              </w:rPr>
              <w:t>360</w:t>
            </w:r>
          </w:p>
        </w:tc>
        <w:tc>
          <w:tcPr>
            <w:tcW w:w="1186" w:type="dxa"/>
            <w:vAlign w:val="center"/>
          </w:tcPr>
          <w:p w:rsidR="00FB4243" w:rsidRPr="00B9779D" w:rsidRDefault="00FB4243" w:rsidP="00591E11">
            <w:pPr>
              <w:spacing w:after="0" w:line="360" w:lineRule="auto"/>
              <w:jc w:val="center"/>
              <w:rPr>
                <w:rFonts w:ascii="Times New Roman" w:hAnsi="Times New Roman" w:cs="Times New Roman"/>
                <w:sz w:val="28"/>
                <w:szCs w:val="28"/>
              </w:rPr>
            </w:pPr>
            <w:r w:rsidRPr="00B9779D">
              <w:rPr>
                <w:rFonts w:ascii="Times New Roman" w:eastAsiaTheme="minorEastAsia" w:hAnsi="Times New Roman" w:cs="Times New Roman"/>
                <w:bCs/>
                <w:sz w:val="28"/>
                <w:szCs w:val="28"/>
              </w:rPr>
              <w:t>1</w:t>
            </w:r>
          </w:p>
        </w:tc>
        <w:tc>
          <w:tcPr>
            <w:tcW w:w="1689" w:type="dxa"/>
            <w:vAlign w:val="center"/>
          </w:tcPr>
          <w:p w:rsidR="00FB4243" w:rsidRPr="00B9779D" w:rsidRDefault="00A75C62" w:rsidP="00591E11">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P</m:t>
                    </m:r>
                  </m:e>
                  <m:sub>
                    <m:r>
                      <w:rPr>
                        <w:rFonts w:ascii="Cambria Math" w:hAnsi="Cambria Math" w:cs="Times New Roman"/>
                        <w:sz w:val="28"/>
                        <w:szCs w:val="28"/>
                      </w:rPr>
                      <m:t>360</m:t>
                    </m:r>
                  </m:sub>
                </m:sSub>
              </m:oMath>
            </m:oMathPara>
          </w:p>
        </w:tc>
        <w:tc>
          <w:tcPr>
            <w:tcW w:w="2049" w:type="dxa"/>
            <w:vAlign w:val="center"/>
          </w:tcPr>
          <w:p w:rsidR="00FB4243" w:rsidRPr="00B9779D" w:rsidRDefault="00A75C62" w:rsidP="00591E11">
            <w:pPr>
              <w:spacing w:after="0" w:line="360" w:lineRule="auto"/>
              <w:jc w:val="center"/>
              <w:rPr>
                <w:rFonts w:ascii="Times New Roman" w:eastAsiaTheme="minorEastAsia" w:hAnsi="Times New Roman" w:cs="Times New Roman"/>
                <w:bCs/>
                <w:sz w:val="28"/>
                <w:szCs w:val="28"/>
              </w:rPr>
            </w:pPr>
            <m:oMathPara>
              <m:oMath>
                <m:f>
                  <m:fPr>
                    <m:ctrlPr>
                      <w:rPr>
                        <w:rFonts w:ascii="Cambria Math" w:hAnsi="Cambria Math" w:cs="Times New Roman"/>
                        <w:bCs/>
                        <w:i/>
                        <w:sz w:val="28"/>
                        <w:szCs w:val="28"/>
                      </w:rPr>
                    </m:ctrlPr>
                  </m:fPr>
                  <m:num>
                    <m:sSub>
                      <m:sSubPr>
                        <m:ctrlPr>
                          <w:rPr>
                            <w:rFonts w:ascii="Cambria Math" w:hAnsi="Cambria Math" w:cs="Times New Roman"/>
                            <w:bCs/>
                            <w:i/>
                            <w:sz w:val="28"/>
                            <w:szCs w:val="28"/>
                          </w:rPr>
                        </m:ctrlPr>
                      </m:sSubPr>
                      <m:e>
                        <m:r>
                          <w:rPr>
                            <w:rFonts w:ascii="Cambria Math" w:hAnsi="Cambria Math" w:cs="Times New Roman"/>
                            <w:sz w:val="28"/>
                            <w:szCs w:val="28"/>
                          </w:rPr>
                          <m:t>P</m:t>
                        </m:r>
                      </m:e>
                      <m:sub>
                        <m:r>
                          <w:rPr>
                            <w:rFonts w:ascii="Cambria Math" w:hAnsi="Cambria Math" w:cs="Times New Roman"/>
                            <w:sz w:val="28"/>
                            <w:szCs w:val="28"/>
                          </w:rPr>
                          <m:t>360</m:t>
                        </m:r>
                      </m:sub>
                    </m:sSub>
                  </m:num>
                  <m:den>
                    <m:nary>
                      <m:naryPr>
                        <m:chr m:val="∑"/>
                        <m:limLoc m:val="undOvr"/>
                        <m:ctrlPr>
                          <w:rPr>
                            <w:rFonts w:ascii="Cambria Math" w:hAnsi="Cambria Math" w:cs="Times New Roman"/>
                            <w:bCs/>
                            <w:i/>
                            <w:sz w:val="28"/>
                            <w:szCs w:val="28"/>
                          </w:rPr>
                        </m:ctrlPr>
                      </m:naryPr>
                      <m:sub>
                        <m:r>
                          <w:rPr>
                            <w:rFonts w:ascii="Cambria Math" w:hAnsi="Cambria Math" w:cs="Times New Roman"/>
                            <w:sz w:val="28"/>
                            <w:szCs w:val="28"/>
                          </w:rPr>
                          <m:t>k=1</m:t>
                        </m:r>
                      </m:sub>
                      <m:sup>
                        <m:r>
                          <w:rPr>
                            <w:rFonts w:ascii="Cambria Math" w:hAnsi="Cambria Math" w:cs="Times New Roman"/>
                            <w:sz w:val="28"/>
                            <w:szCs w:val="28"/>
                          </w:rPr>
                          <m:t>360</m:t>
                        </m:r>
                      </m:sup>
                      <m:e>
                        <m:sSub>
                          <m:sSubPr>
                            <m:ctrlPr>
                              <w:rPr>
                                <w:rFonts w:ascii="Cambria Math" w:hAnsi="Cambria Math" w:cs="Times New Roman"/>
                                <w:bCs/>
                                <w:i/>
                                <w:sz w:val="28"/>
                                <w:szCs w:val="28"/>
                              </w:rPr>
                            </m:ctrlPr>
                          </m:sSubPr>
                          <m:e>
                            <m:r>
                              <w:rPr>
                                <w:rFonts w:ascii="Cambria Math" w:hAnsi="Cambria Math" w:cs="Times New Roman"/>
                                <w:sz w:val="28"/>
                                <w:szCs w:val="28"/>
                              </w:rPr>
                              <m:t>P</m:t>
                            </m:r>
                          </m:e>
                          <m:sub>
                            <m:r>
                              <w:rPr>
                                <w:rFonts w:ascii="Cambria Math" w:hAnsi="Cambria Math" w:cs="Times New Roman"/>
                                <w:sz w:val="28"/>
                                <w:szCs w:val="28"/>
                              </w:rPr>
                              <m:t>k</m:t>
                            </m:r>
                          </m:sub>
                        </m:sSub>
                      </m:e>
                    </m:nary>
                  </m:den>
                </m:f>
              </m:oMath>
            </m:oMathPara>
          </w:p>
        </w:tc>
        <w:tc>
          <w:tcPr>
            <w:tcW w:w="1294" w:type="dxa"/>
            <w:vAlign w:val="center"/>
          </w:tcPr>
          <w:p w:rsidR="00FB4243" w:rsidRPr="00B9779D" w:rsidRDefault="00A75C62" w:rsidP="00591E11">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Sc</m:t>
                    </m:r>
                  </m:e>
                  <m:sub>
                    <m:r>
                      <w:rPr>
                        <w:rFonts w:ascii="Cambria Math" w:hAnsi="Cambria Math" w:cs="Times New Roman"/>
                        <w:sz w:val="28"/>
                        <w:szCs w:val="28"/>
                      </w:rPr>
                      <m:t>360</m:t>
                    </m:r>
                  </m:sub>
                </m:sSub>
              </m:oMath>
            </m:oMathPara>
          </w:p>
        </w:tc>
        <w:tc>
          <w:tcPr>
            <w:tcW w:w="2026" w:type="dxa"/>
            <w:vAlign w:val="center"/>
          </w:tcPr>
          <w:p w:rsidR="00FB4243" w:rsidRPr="00B9779D" w:rsidRDefault="00A75C62" w:rsidP="00B84FF4">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1-Sc</m:t>
                    </m:r>
                  </m:e>
                  <m:sub>
                    <m:r>
                      <w:rPr>
                        <w:rFonts w:ascii="Cambria Math" w:hAnsi="Cambria Math" w:cs="Times New Roman"/>
                        <w:sz w:val="28"/>
                        <w:szCs w:val="28"/>
                      </w:rPr>
                      <m:t>360</m:t>
                    </m:r>
                  </m:sub>
                </m:sSub>
              </m:oMath>
            </m:oMathPara>
          </w:p>
        </w:tc>
        <w:tc>
          <w:tcPr>
            <w:tcW w:w="547" w:type="dxa"/>
            <w:vAlign w:val="center"/>
          </w:tcPr>
          <w:p w:rsidR="00FB4243" w:rsidRDefault="00FB4243" w:rsidP="00591E11">
            <w:pPr>
              <w:spacing w:line="240" w:lineRule="auto"/>
              <w:jc w:val="center"/>
            </w:pPr>
            <w:r w:rsidRPr="00F91A0E">
              <w:rPr>
                <w:rFonts w:ascii="Times New Roman" w:eastAsiaTheme="minorEastAsia" w:hAnsi="Times New Roman" w:cs="Times New Roman"/>
                <w:b/>
                <w:bCs/>
                <w:sz w:val="20"/>
                <w:szCs w:val="20"/>
              </w:rPr>
              <w:t>…</w:t>
            </w:r>
          </w:p>
        </w:tc>
        <w:tc>
          <w:tcPr>
            <w:tcW w:w="1915" w:type="dxa"/>
            <w:vAlign w:val="center"/>
          </w:tcPr>
          <w:p w:rsidR="00FB4243" w:rsidRPr="00B9779D" w:rsidRDefault="00A75C62" w:rsidP="00F96176">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El</m:t>
                    </m:r>
                  </m:e>
                  <m:sub>
                    <m:r>
                      <w:rPr>
                        <w:rFonts w:ascii="Cambria Math" w:hAnsi="Cambria Math" w:cs="Times New Roman"/>
                        <w:sz w:val="28"/>
                        <w:szCs w:val="28"/>
                      </w:rPr>
                      <m:t>360</m:t>
                    </m:r>
                  </m:sub>
                </m:sSub>
              </m:oMath>
            </m:oMathPara>
          </w:p>
        </w:tc>
        <w:tc>
          <w:tcPr>
            <w:tcW w:w="2907" w:type="dxa"/>
            <w:vAlign w:val="center"/>
          </w:tcPr>
          <w:p w:rsidR="00FB4243" w:rsidRPr="00B9779D" w:rsidRDefault="00A75C62" w:rsidP="004B1995">
            <w:pPr>
              <w:spacing w:after="0" w:line="360" w:lineRule="auto"/>
              <w:jc w:val="center"/>
              <w:rPr>
                <w:rFonts w:ascii="Times New Roman" w:eastAsiaTheme="minorEastAsia"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1-El</m:t>
                    </m:r>
                  </m:e>
                  <m:sub>
                    <m:r>
                      <w:rPr>
                        <w:rFonts w:ascii="Cambria Math" w:hAnsi="Cambria Math" w:cs="Times New Roman"/>
                        <w:sz w:val="28"/>
                        <w:szCs w:val="28"/>
                      </w:rPr>
                      <m:t>360</m:t>
                    </m:r>
                  </m:sub>
                </m:sSub>
              </m:oMath>
            </m:oMathPara>
          </w:p>
        </w:tc>
      </w:tr>
    </w:tbl>
    <w:p w:rsidR="00177E7B" w:rsidRPr="00177E7B" w:rsidRDefault="00177E7B" w:rsidP="00177E7B">
      <w:pPr>
        <w:spacing w:line="360" w:lineRule="auto"/>
        <w:jc w:val="both"/>
        <w:rPr>
          <w:rFonts w:asciiTheme="majorBidi" w:eastAsiaTheme="minorEastAsia" w:hAnsiTheme="majorBidi" w:cstheme="majorBidi"/>
          <w:bCs/>
          <w:sz w:val="24"/>
          <w:szCs w:val="24"/>
        </w:rPr>
      </w:pPr>
    </w:p>
    <w:p w:rsidR="00622055" w:rsidRDefault="00622055" w:rsidP="00EC2977">
      <w:pPr>
        <w:spacing w:line="360" w:lineRule="auto"/>
        <w:rPr>
          <w:rFonts w:ascii="Times New Roman" w:eastAsiaTheme="minorEastAsia" w:hAnsi="Times New Roman" w:cs="Times New Roman"/>
          <w:bCs/>
          <w:sz w:val="28"/>
          <w:szCs w:val="28"/>
        </w:rPr>
        <w:sectPr w:rsidR="00622055" w:rsidSect="00622055">
          <w:pgSz w:w="16838" w:h="11906" w:orient="landscape"/>
          <w:pgMar w:top="1440" w:right="1440" w:bottom="1440" w:left="1440" w:header="709" w:footer="709" w:gutter="0"/>
          <w:cols w:space="708"/>
          <w:titlePg/>
          <w:docGrid w:linePitch="360"/>
        </w:sectPr>
      </w:pPr>
    </w:p>
    <w:p w:rsidR="004D0F09" w:rsidRDefault="004D0F09" w:rsidP="00EC2977">
      <w:pPr>
        <w:spacing w:line="360" w:lineRule="auto"/>
        <w:rPr>
          <w:rFonts w:asciiTheme="majorBidi" w:hAnsiTheme="majorBidi" w:cstheme="majorBidi"/>
          <w:b/>
          <w:bCs/>
          <w:sz w:val="24"/>
          <w:szCs w:val="24"/>
        </w:rPr>
      </w:pPr>
      <w:r w:rsidRPr="000C5524">
        <w:rPr>
          <w:rFonts w:asciiTheme="majorBidi" w:hAnsiTheme="majorBidi" w:cstheme="majorBidi"/>
          <w:b/>
          <w:bCs/>
          <w:sz w:val="24"/>
          <w:szCs w:val="24"/>
        </w:rPr>
        <w:lastRenderedPageBreak/>
        <w:t>2.</w:t>
      </w:r>
      <w:r w:rsidR="00EC2977">
        <w:rPr>
          <w:rFonts w:asciiTheme="majorBidi" w:hAnsiTheme="majorBidi" w:cstheme="majorBidi"/>
          <w:b/>
          <w:bCs/>
          <w:sz w:val="24"/>
          <w:szCs w:val="24"/>
        </w:rPr>
        <w:t>3</w:t>
      </w:r>
      <w:r w:rsidRPr="000C5524">
        <w:rPr>
          <w:rFonts w:asciiTheme="majorBidi" w:hAnsiTheme="majorBidi" w:cstheme="majorBidi"/>
          <w:b/>
          <w:bCs/>
          <w:sz w:val="24"/>
          <w:szCs w:val="24"/>
        </w:rPr>
        <w:t xml:space="preserve"> Construction de l’Indice de Répartition Equitable (IRE)  </w:t>
      </w:r>
    </w:p>
    <w:p w:rsidR="003D392E" w:rsidRDefault="003D392E" w:rsidP="00A55E90">
      <w:pPr>
        <w:spacing w:line="360" w:lineRule="auto"/>
        <w:jc w:val="both"/>
        <w:rPr>
          <w:rFonts w:asciiTheme="majorBidi" w:hAnsiTheme="majorBidi" w:cstheme="majorBidi"/>
          <w:bCs/>
          <w:sz w:val="24"/>
          <w:szCs w:val="24"/>
        </w:rPr>
      </w:pPr>
      <w:r>
        <w:rPr>
          <w:rFonts w:asciiTheme="majorBidi" w:hAnsiTheme="majorBidi" w:cstheme="majorBidi"/>
          <w:bCs/>
          <w:sz w:val="24"/>
          <w:szCs w:val="24"/>
        </w:rPr>
        <w:t>L’IRE</w:t>
      </w:r>
      <w:r w:rsidR="00A55E90">
        <w:rPr>
          <w:rFonts w:asciiTheme="majorBidi" w:hAnsiTheme="majorBidi" w:cstheme="majorBidi"/>
          <w:bCs/>
          <w:sz w:val="24"/>
          <w:szCs w:val="24"/>
        </w:rPr>
        <w:t xml:space="preserve"> se calcule sur la base de </w:t>
      </w:r>
      <w:r>
        <w:rPr>
          <w:rFonts w:asciiTheme="majorBidi" w:hAnsiTheme="majorBidi" w:cstheme="majorBidi"/>
          <w:bCs/>
          <w:sz w:val="24"/>
          <w:szCs w:val="24"/>
        </w:rPr>
        <w:t>la variance expliquée par le modèle linéaire présenté plus haut :</w:t>
      </w:r>
    </w:p>
    <w:p w:rsidR="006C7CC5" w:rsidRPr="006C7CC5" w:rsidRDefault="00A75C62" w:rsidP="006C7CC5">
      <w:pPr>
        <w:spacing w:line="360" w:lineRule="auto"/>
        <w:jc w:val="both"/>
        <w:rPr>
          <w:rFonts w:asciiTheme="majorBidi" w:eastAsiaTheme="minorEastAsia" w:hAnsiTheme="majorBidi" w:cstheme="majorBidi"/>
          <w:bCs/>
          <w:sz w:val="24"/>
          <w:szCs w:val="24"/>
          <w:lang w:val="en-US"/>
        </w:rPr>
      </w:pPr>
      <m:oMath>
        <m:sSub>
          <m:sSubPr>
            <m:ctrlPr>
              <w:rPr>
                <w:rFonts w:ascii="Cambria Math" w:hAnsi="Cambria Math" w:cstheme="majorBidi"/>
                <w:bCs/>
                <w:i/>
                <w:sz w:val="24"/>
                <w:szCs w:val="24"/>
              </w:rPr>
            </m:ctrlPr>
          </m:sSubPr>
          <m:e>
            <m:r>
              <w:rPr>
                <w:rFonts w:ascii="Cambria Math" w:hAnsi="Cambria Math" w:cstheme="majorBidi"/>
                <w:sz w:val="24"/>
                <w:szCs w:val="24"/>
              </w:rPr>
              <m:t>Y</m:t>
            </m:r>
          </m:e>
          <m:sub>
            <m:r>
              <w:rPr>
                <w:rFonts w:ascii="Cambria Math" w:hAnsi="Cambria Math" w:cstheme="majorBidi"/>
                <w:sz w:val="24"/>
                <w:szCs w:val="24"/>
              </w:rPr>
              <m:t>i</m:t>
            </m:r>
          </m:sub>
        </m:sSub>
        <m:r>
          <w:rPr>
            <w:rFonts w:ascii="Cambria Math" w:hAnsi="Cambria Math" w:cstheme="majorBidi"/>
            <w:sz w:val="24"/>
            <w:szCs w:val="24"/>
            <w:lang w:val="en-US"/>
          </w:rPr>
          <m:t>=</m:t>
        </m:r>
        <m:sSub>
          <m:sSubPr>
            <m:ctrlPr>
              <w:rPr>
                <w:rFonts w:ascii="Cambria Math" w:hAnsi="Cambria Math" w:cstheme="majorBidi"/>
                <w:bCs/>
                <w:i/>
                <w:sz w:val="24"/>
                <w:szCs w:val="24"/>
              </w:rPr>
            </m:ctrlPr>
          </m:sSubPr>
          <m:e>
            <m:r>
              <w:rPr>
                <w:rFonts w:ascii="Cambria Math" w:hAnsi="Cambria Math" w:cstheme="majorBidi"/>
                <w:sz w:val="24"/>
                <w:szCs w:val="24"/>
                <w:lang w:val="en-US"/>
              </w:rPr>
              <m:t xml:space="preserve"> ∝</m:t>
            </m:r>
          </m:e>
          <m:sub>
            <m:r>
              <w:rPr>
                <w:rFonts w:ascii="Cambria Math" w:hAnsi="Cambria Math" w:cstheme="majorBidi"/>
                <w:sz w:val="24"/>
                <w:szCs w:val="24"/>
              </w:rPr>
              <m:t>j</m:t>
            </m:r>
          </m:sub>
        </m:sSub>
        <m:sSub>
          <m:sSubPr>
            <m:ctrlPr>
              <w:rPr>
                <w:rFonts w:ascii="Cambria Math" w:hAnsi="Cambria Math" w:cstheme="majorBidi"/>
                <w:bCs/>
                <w:i/>
                <w:sz w:val="24"/>
                <w:szCs w:val="24"/>
              </w:rPr>
            </m:ctrlPr>
          </m:sSubPr>
          <m:e>
            <m:r>
              <w:rPr>
                <w:rFonts w:ascii="Cambria Math" w:hAnsi="Cambria Math" w:cstheme="majorBidi"/>
                <w:sz w:val="24"/>
                <w:szCs w:val="24"/>
              </w:rPr>
              <m:t>X</m:t>
            </m:r>
          </m:e>
          <m:sub>
            <m:r>
              <w:rPr>
                <w:rFonts w:ascii="Cambria Math" w:hAnsi="Cambria Math" w:cstheme="majorBidi"/>
                <w:sz w:val="24"/>
                <w:szCs w:val="24"/>
              </w:rPr>
              <m:t>ji</m:t>
            </m:r>
          </m:sub>
        </m:sSub>
        <m:r>
          <w:rPr>
            <w:rFonts w:ascii="Cambria Math" w:hAnsi="Cambria Math" w:cstheme="majorBidi"/>
            <w:sz w:val="24"/>
            <w:szCs w:val="24"/>
            <w:lang w:val="en-US"/>
          </w:rPr>
          <m:t>+</m:t>
        </m:r>
        <m:sSub>
          <m:sSubPr>
            <m:ctrlPr>
              <w:rPr>
                <w:rFonts w:ascii="Cambria Math" w:hAnsi="Cambria Math" w:cstheme="majorBidi"/>
                <w:bCs/>
                <w:i/>
                <w:sz w:val="24"/>
                <w:szCs w:val="24"/>
              </w:rPr>
            </m:ctrlPr>
          </m:sSubPr>
          <m:e>
            <m:r>
              <w:rPr>
                <w:rFonts w:ascii="Cambria Math" w:hAnsi="Cambria Math" w:cstheme="majorBidi"/>
                <w:sz w:val="24"/>
                <w:szCs w:val="24"/>
              </w:rPr>
              <m:t>ε</m:t>
            </m:r>
          </m:e>
          <m:sub>
            <m:r>
              <w:rPr>
                <w:rFonts w:ascii="Cambria Math" w:hAnsi="Cambria Math" w:cstheme="majorBidi"/>
                <w:sz w:val="24"/>
                <w:szCs w:val="24"/>
              </w:rPr>
              <m:t>i</m:t>
            </m:r>
          </m:sub>
        </m:sSub>
      </m:oMath>
      <w:r w:rsidR="006C7CC5" w:rsidRPr="006C7CC5">
        <w:rPr>
          <w:rFonts w:asciiTheme="majorBidi" w:eastAsiaTheme="minorEastAsia" w:hAnsiTheme="majorBidi" w:cstheme="majorBidi"/>
          <w:bCs/>
          <w:sz w:val="24"/>
          <w:szCs w:val="24"/>
          <w:lang w:val="en-US"/>
        </w:rPr>
        <w:t>, i = 1, 2, …, 360, j = 0, …,</w:t>
      </w:r>
      <w:r w:rsidR="00996A49">
        <w:rPr>
          <w:rFonts w:asciiTheme="majorBidi" w:eastAsiaTheme="minorEastAsia" w:hAnsiTheme="majorBidi" w:cstheme="majorBidi"/>
          <w:bCs/>
          <w:sz w:val="24"/>
          <w:szCs w:val="24"/>
          <w:lang w:val="en-US"/>
        </w:rPr>
        <w:t xml:space="preserve"> </w:t>
      </w:r>
      <w:r w:rsidR="00996A49" w:rsidRPr="006C7CC5">
        <w:rPr>
          <w:rFonts w:asciiTheme="majorBidi" w:eastAsiaTheme="minorEastAsia" w:hAnsiTheme="majorBidi" w:cstheme="majorBidi"/>
          <w:bCs/>
          <w:sz w:val="24"/>
          <w:szCs w:val="24"/>
          <w:lang w:val="en-US"/>
        </w:rPr>
        <w:t>5;</w:t>
      </w:r>
    </w:p>
    <w:p w:rsidR="001559B0" w:rsidRDefault="00220D95" w:rsidP="003D392E">
      <w:pPr>
        <w:spacing w:line="360" w:lineRule="auto"/>
        <w:jc w:val="both"/>
        <w:rPr>
          <w:rFonts w:asciiTheme="majorBidi" w:eastAsiaTheme="minorEastAsia" w:hAnsiTheme="majorBidi" w:cstheme="majorBidi"/>
          <w:bCs/>
          <w:sz w:val="24"/>
          <w:szCs w:val="24"/>
        </w:rPr>
      </w:pPr>
      <w:r w:rsidRPr="00220D95">
        <w:rPr>
          <w:rFonts w:asciiTheme="majorBidi" w:eastAsiaTheme="minorEastAsia" w:hAnsiTheme="majorBidi" w:cstheme="majorBidi"/>
          <w:bCs/>
          <w:sz w:val="24"/>
          <w:szCs w:val="24"/>
        </w:rPr>
        <w:t>En effet, l’objectif est de voir dans quelle mesure les</w:t>
      </w:r>
      <w:r w:rsidR="00A55E90">
        <w:rPr>
          <w:rFonts w:asciiTheme="majorBidi" w:eastAsiaTheme="minorEastAsia" w:hAnsiTheme="majorBidi" w:cstheme="majorBidi"/>
          <w:bCs/>
          <w:sz w:val="24"/>
          <w:szCs w:val="24"/>
        </w:rPr>
        <w:t xml:space="preserve"> besoins en matière de développement </w:t>
      </w:r>
      <w:r>
        <w:rPr>
          <w:rFonts w:asciiTheme="majorBidi" w:eastAsiaTheme="minorEastAsia" w:hAnsiTheme="majorBidi" w:cstheme="majorBidi"/>
          <w:bCs/>
          <w:sz w:val="24"/>
          <w:szCs w:val="24"/>
        </w:rPr>
        <w:t>sont pris en compte dans l</w:t>
      </w:r>
      <w:r w:rsidR="00D22C34">
        <w:rPr>
          <w:rFonts w:asciiTheme="majorBidi" w:eastAsiaTheme="minorEastAsia" w:hAnsiTheme="majorBidi" w:cstheme="majorBidi"/>
          <w:bCs/>
          <w:sz w:val="24"/>
          <w:szCs w:val="24"/>
        </w:rPr>
        <w:t>’allocation</w:t>
      </w:r>
      <w:r>
        <w:rPr>
          <w:rFonts w:asciiTheme="majorBidi" w:eastAsiaTheme="minorEastAsia" w:hAnsiTheme="majorBidi" w:cstheme="majorBidi"/>
          <w:bCs/>
          <w:sz w:val="24"/>
          <w:szCs w:val="24"/>
        </w:rPr>
        <w:t xml:space="preserve"> des RI</w:t>
      </w:r>
      <w:r w:rsidR="00A55E90">
        <w:rPr>
          <w:rFonts w:asciiTheme="majorBidi" w:eastAsiaTheme="minorEastAsia" w:hAnsiTheme="majorBidi" w:cstheme="majorBidi"/>
          <w:bCs/>
          <w:sz w:val="24"/>
          <w:szCs w:val="24"/>
        </w:rPr>
        <w:t xml:space="preserve"> à travers les </w:t>
      </w:r>
      <w:r w:rsidR="00A55E90" w:rsidRPr="00220D95">
        <w:rPr>
          <w:rFonts w:asciiTheme="majorBidi" w:eastAsiaTheme="minorEastAsia" w:hAnsiTheme="majorBidi" w:cstheme="majorBidi"/>
          <w:bCs/>
          <w:sz w:val="24"/>
          <w:szCs w:val="24"/>
        </w:rPr>
        <w:t>critères de répartition</w:t>
      </w:r>
      <w:r w:rsidR="00A55E90">
        <w:rPr>
          <w:rFonts w:asciiTheme="majorBidi" w:eastAsiaTheme="minorEastAsia" w:hAnsiTheme="majorBidi" w:cstheme="majorBidi"/>
          <w:bCs/>
          <w:sz w:val="24"/>
          <w:szCs w:val="24"/>
        </w:rPr>
        <w:t xml:space="preserve"> </w:t>
      </w:r>
      <m:oMath>
        <m:sSub>
          <m:sSubPr>
            <m:ctrlPr>
              <w:rPr>
                <w:rFonts w:ascii="Cambria Math" w:hAnsi="Cambria Math" w:cstheme="majorBidi"/>
                <w:bCs/>
                <w:i/>
                <w:sz w:val="24"/>
                <w:szCs w:val="24"/>
              </w:rPr>
            </m:ctrlPr>
          </m:sSubPr>
          <m:e>
            <m:r>
              <w:rPr>
                <w:rFonts w:ascii="Cambria Math" w:hAnsi="Cambria Math" w:cstheme="majorBidi"/>
                <w:sz w:val="24"/>
                <w:szCs w:val="24"/>
              </w:rPr>
              <m:t>X</m:t>
            </m:r>
          </m:e>
          <m:sub>
            <m:r>
              <w:rPr>
                <w:rFonts w:ascii="Cambria Math" w:hAnsi="Cambria Math" w:cstheme="majorBidi"/>
                <w:sz w:val="24"/>
                <w:szCs w:val="24"/>
              </w:rPr>
              <m:t>ji</m:t>
            </m:r>
          </m:sub>
        </m:sSub>
      </m:oMath>
      <w:r>
        <w:rPr>
          <w:rFonts w:asciiTheme="majorBidi" w:eastAsiaTheme="minorEastAsia" w:hAnsiTheme="majorBidi" w:cstheme="majorBidi"/>
          <w:bCs/>
          <w:sz w:val="24"/>
          <w:szCs w:val="24"/>
        </w:rPr>
        <w:t>.</w:t>
      </w:r>
      <w:r w:rsidR="00D22C34">
        <w:rPr>
          <w:rFonts w:asciiTheme="majorBidi" w:eastAsiaTheme="minorEastAsia" w:hAnsiTheme="majorBidi" w:cstheme="majorBidi"/>
          <w:bCs/>
          <w:sz w:val="24"/>
          <w:szCs w:val="24"/>
        </w:rPr>
        <w:t xml:space="preserve"> Les critères présentant une forte variabilité d’une commune à l’autre reflètent l’existence de fortes disparités dans les besoins en matière de développement. L’IRE exprime donc fidèlement la prise en compte de ces critères dans l’allocation des ressources. La répartition de base (part des RI répartie de façon égale entre toutes les communes</w:t>
      </w:r>
      <w:r w:rsidR="00D77FEF">
        <w:rPr>
          <w:rFonts w:asciiTheme="majorBidi" w:eastAsiaTheme="minorEastAsia" w:hAnsiTheme="majorBidi" w:cstheme="majorBidi"/>
          <w:bCs/>
          <w:sz w:val="24"/>
          <w:szCs w:val="24"/>
        </w:rPr>
        <w:t>) est captée par le t</w:t>
      </w:r>
      <w:r w:rsidR="0022306F">
        <w:rPr>
          <w:rFonts w:asciiTheme="majorBidi" w:eastAsiaTheme="minorEastAsia" w:hAnsiTheme="majorBidi" w:cstheme="majorBidi"/>
          <w:bCs/>
          <w:sz w:val="24"/>
          <w:szCs w:val="24"/>
        </w:rPr>
        <w:t>erme constant de la régression.</w:t>
      </w:r>
    </w:p>
    <w:p w:rsidR="00A55E90" w:rsidRDefault="00A55E90" w:rsidP="003D392E">
      <w:pPr>
        <w:spacing w:line="360" w:lineRule="auto"/>
        <w:jc w:val="both"/>
        <w:rPr>
          <w:rFonts w:asciiTheme="majorBidi" w:eastAsiaTheme="minorEastAsia" w:hAnsiTheme="majorBidi" w:cstheme="majorBidi"/>
          <w:bCs/>
          <w:sz w:val="24"/>
          <w:szCs w:val="24"/>
        </w:rPr>
      </w:pPr>
      <w:r>
        <w:rPr>
          <w:rFonts w:asciiTheme="majorBidi" w:eastAsiaTheme="minorEastAsia" w:hAnsiTheme="majorBidi" w:cstheme="majorBidi"/>
          <w:bCs/>
          <w:sz w:val="24"/>
          <w:szCs w:val="24"/>
        </w:rPr>
        <w:t>Pour la détermination du pouvoir explicatif de chaque critère, les variables sont introduites dans le modèle pas à pas. La variation de R</w:t>
      </w:r>
      <w:r>
        <w:rPr>
          <w:rFonts w:asciiTheme="majorBidi" w:eastAsiaTheme="minorEastAsia" w:hAnsiTheme="majorBidi" w:cstheme="majorBidi"/>
          <w:bCs/>
          <w:sz w:val="24"/>
          <w:szCs w:val="24"/>
          <w:vertAlign w:val="superscript"/>
        </w:rPr>
        <w:t>2</w:t>
      </w:r>
      <w:r>
        <w:rPr>
          <w:rFonts w:asciiTheme="majorBidi" w:eastAsiaTheme="minorEastAsia" w:hAnsiTheme="majorBidi" w:cstheme="majorBidi"/>
          <w:bCs/>
          <w:sz w:val="24"/>
          <w:szCs w:val="24"/>
        </w:rPr>
        <w:t xml:space="preserve"> après l’introduction de la variable nous fournit le pouvoir explicatif de cette variable dans le modèle. Si le coefficient associé à un critère est négatif, l</w:t>
      </w:r>
      <w:r w:rsidR="00C24D55">
        <w:rPr>
          <w:rFonts w:asciiTheme="majorBidi" w:eastAsiaTheme="minorEastAsia" w:hAnsiTheme="majorBidi" w:cstheme="majorBidi"/>
          <w:bCs/>
          <w:sz w:val="24"/>
          <w:szCs w:val="24"/>
        </w:rPr>
        <w:t>’allocation d</w:t>
      </w:r>
      <w:r>
        <w:rPr>
          <w:rFonts w:asciiTheme="majorBidi" w:eastAsiaTheme="minorEastAsia" w:hAnsiTheme="majorBidi" w:cstheme="majorBidi"/>
          <w:bCs/>
          <w:sz w:val="24"/>
          <w:szCs w:val="24"/>
        </w:rPr>
        <w:t>es ressources</w:t>
      </w:r>
      <w:r w:rsidR="00C24D55">
        <w:rPr>
          <w:rFonts w:asciiTheme="majorBidi" w:eastAsiaTheme="minorEastAsia" w:hAnsiTheme="majorBidi" w:cstheme="majorBidi"/>
          <w:bCs/>
          <w:sz w:val="24"/>
          <w:szCs w:val="24"/>
        </w:rPr>
        <w:t xml:space="preserve"> est inversement proportionnelle aux besoins de développement</w:t>
      </w:r>
      <w:r w:rsidR="0093206D">
        <w:rPr>
          <w:rFonts w:asciiTheme="majorBidi" w:eastAsiaTheme="minorEastAsia" w:hAnsiTheme="majorBidi" w:cstheme="majorBidi"/>
          <w:bCs/>
          <w:sz w:val="24"/>
          <w:szCs w:val="24"/>
        </w:rPr>
        <w:t xml:space="preserve"> liés à ce critère</w:t>
      </w:r>
      <w:r>
        <w:rPr>
          <w:rFonts w:asciiTheme="majorBidi" w:eastAsiaTheme="minorEastAsia" w:hAnsiTheme="majorBidi" w:cstheme="majorBidi"/>
          <w:bCs/>
          <w:sz w:val="24"/>
          <w:szCs w:val="24"/>
        </w:rPr>
        <w:t>. L</w:t>
      </w:r>
      <w:r w:rsidR="00BC4780">
        <w:rPr>
          <w:rFonts w:asciiTheme="majorBidi" w:eastAsiaTheme="minorEastAsia" w:hAnsiTheme="majorBidi" w:cstheme="majorBidi"/>
          <w:bCs/>
          <w:sz w:val="24"/>
          <w:szCs w:val="24"/>
        </w:rPr>
        <w:t>a valeur de R</w:t>
      </w:r>
      <w:r w:rsidR="00BC4780">
        <w:rPr>
          <w:rFonts w:asciiTheme="majorBidi" w:eastAsiaTheme="minorEastAsia" w:hAnsiTheme="majorBidi" w:cstheme="majorBidi"/>
          <w:bCs/>
          <w:sz w:val="24"/>
          <w:szCs w:val="24"/>
          <w:vertAlign w:val="superscript"/>
        </w:rPr>
        <w:t>2</w:t>
      </w:r>
      <w:r w:rsidR="00BC4780">
        <w:rPr>
          <w:rFonts w:asciiTheme="majorBidi" w:eastAsiaTheme="minorEastAsia" w:hAnsiTheme="majorBidi" w:cstheme="majorBidi"/>
          <w:bCs/>
          <w:sz w:val="24"/>
          <w:szCs w:val="24"/>
        </w:rPr>
        <w:t xml:space="preserve"> est </w:t>
      </w:r>
      <w:r w:rsidR="0022306F">
        <w:rPr>
          <w:rFonts w:asciiTheme="majorBidi" w:eastAsiaTheme="minorEastAsia" w:hAnsiTheme="majorBidi" w:cstheme="majorBidi"/>
          <w:bCs/>
          <w:sz w:val="24"/>
          <w:szCs w:val="24"/>
        </w:rPr>
        <w:t xml:space="preserve">donc </w:t>
      </w:r>
      <w:r w:rsidR="00BC4780">
        <w:rPr>
          <w:rFonts w:asciiTheme="majorBidi" w:eastAsiaTheme="minorEastAsia" w:hAnsiTheme="majorBidi" w:cstheme="majorBidi"/>
          <w:bCs/>
          <w:sz w:val="24"/>
          <w:szCs w:val="24"/>
        </w:rPr>
        <w:t>comptée négativement dans l’indice. Finalement, on obtient un indice IRE qui est positivement associé à la répartition équitable</w:t>
      </w:r>
      <w:r w:rsidR="0022306F">
        <w:rPr>
          <w:rFonts w:asciiTheme="majorBidi" w:eastAsiaTheme="minorEastAsia" w:hAnsiTheme="majorBidi" w:cstheme="majorBidi"/>
          <w:bCs/>
          <w:sz w:val="24"/>
          <w:szCs w:val="24"/>
        </w:rPr>
        <w:t xml:space="preserve"> des ressources</w:t>
      </w:r>
      <w:r w:rsidR="00BC4780">
        <w:rPr>
          <w:rFonts w:asciiTheme="majorBidi" w:eastAsiaTheme="minorEastAsia" w:hAnsiTheme="majorBidi" w:cstheme="majorBidi"/>
          <w:bCs/>
          <w:sz w:val="24"/>
          <w:szCs w:val="24"/>
        </w:rPr>
        <w:t xml:space="preserve">. L’IRE est donc </w:t>
      </w:r>
      <w:proofErr w:type="gramStart"/>
      <w:r w:rsidR="00BC4780">
        <w:rPr>
          <w:rFonts w:asciiTheme="majorBidi" w:eastAsiaTheme="minorEastAsia" w:hAnsiTheme="majorBidi" w:cstheme="majorBidi"/>
          <w:bCs/>
          <w:sz w:val="24"/>
          <w:szCs w:val="24"/>
        </w:rPr>
        <w:t>obtenu</w:t>
      </w:r>
      <w:proofErr w:type="gramEnd"/>
      <w:r w:rsidR="00007720">
        <w:rPr>
          <w:rFonts w:asciiTheme="majorBidi" w:eastAsiaTheme="minorEastAsia" w:hAnsiTheme="majorBidi" w:cstheme="majorBidi"/>
          <w:bCs/>
          <w:sz w:val="24"/>
          <w:szCs w:val="24"/>
        </w:rPr>
        <w:t xml:space="preserve"> en pourcentage</w:t>
      </w:r>
      <w:r w:rsidR="00BC4780">
        <w:rPr>
          <w:rFonts w:asciiTheme="majorBidi" w:eastAsiaTheme="minorEastAsia" w:hAnsiTheme="majorBidi" w:cstheme="majorBidi"/>
          <w:bCs/>
          <w:sz w:val="24"/>
          <w:szCs w:val="24"/>
        </w:rPr>
        <w:t xml:space="preserve"> comme somme algébrique des pouvoirs explicatifs des critères dans le modèle, selon l’expression :</w:t>
      </w:r>
    </w:p>
    <w:p w:rsidR="00BC4780" w:rsidRPr="00BC4780" w:rsidRDefault="00BC4780" w:rsidP="003D392E">
      <w:pPr>
        <w:spacing w:line="360" w:lineRule="auto"/>
        <w:jc w:val="both"/>
        <w:rPr>
          <w:rFonts w:asciiTheme="majorBidi" w:eastAsiaTheme="minorEastAsia" w:hAnsiTheme="majorBidi" w:cstheme="majorBidi"/>
          <w:bCs/>
          <w:sz w:val="24"/>
          <w:szCs w:val="24"/>
        </w:rPr>
      </w:pPr>
      <m:oMathPara>
        <m:oMath>
          <m:r>
            <w:rPr>
              <w:rFonts w:ascii="Cambria Math" w:eastAsiaTheme="minorEastAsia" w:hAnsi="Cambria Math" w:cstheme="majorBidi"/>
              <w:sz w:val="24"/>
              <w:szCs w:val="24"/>
            </w:rPr>
            <m:t>IRE=100*</m:t>
          </m:r>
          <m:nary>
            <m:naryPr>
              <m:chr m:val="∑"/>
              <m:limLoc m:val="undOvr"/>
              <m:ctrlPr>
                <w:rPr>
                  <w:rFonts w:ascii="Cambria Math" w:eastAsiaTheme="minorEastAsia" w:hAnsi="Cambria Math" w:cstheme="majorBidi"/>
                  <w:bCs/>
                  <w:i/>
                  <w:sz w:val="24"/>
                  <w:szCs w:val="24"/>
                </w:rPr>
              </m:ctrlPr>
            </m:naryPr>
            <m:sub>
              <m:r>
                <w:rPr>
                  <w:rFonts w:ascii="Cambria Math" w:eastAsiaTheme="minorEastAsia" w:hAnsi="Cambria Math" w:cstheme="majorBidi"/>
                  <w:sz w:val="24"/>
                  <w:szCs w:val="24"/>
                </w:rPr>
                <m:t>i=1</m:t>
              </m:r>
            </m:sub>
            <m:sup>
              <m:r>
                <w:rPr>
                  <w:rFonts w:ascii="Cambria Math" w:eastAsiaTheme="minorEastAsia" w:hAnsi="Cambria Math" w:cstheme="majorBidi"/>
                  <w:sz w:val="24"/>
                  <w:szCs w:val="24"/>
                </w:rPr>
                <m:t>5</m:t>
              </m:r>
            </m:sup>
            <m:e>
              <m:sSubSup>
                <m:sSubSupPr>
                  <m:ctrlPr>
                    <w:rPr>
                      <w:rFonts w:ascii="Cambria Math" w:eastAsiaTheme="minorEastAsia" w:hAnsi="Cambria Math" w:cstheme="majorBidi"/>
                      <w:bCs/>
                      <w:i/>
                      <w:sz w:val="24"/>
                      <w:szCs w:val="24"/>
                    </w:rPr>
                  </m:ctrlPr>
                </m:sSubSup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i</m:t>
                  </m:r>
                </m:sub>
                <m:sup>
                  <m:r>
                    <w:rPr>
                      <w:rFonts w:ascii="Cambria Math" w:eastAsiaTheme="minorEastAsia" w:hAnsi="Cambria Math" w:cstheme="majorBidi"/>
                      <w:sz w:val="24"/>
                      <w:szCs w:val="24"/>
                    </w:rPr>
                    <m:t>2</m:t>
                  </m:r>
                </m:sup>
              </m:sSubSup>
            </m:e>
          </m:nary>
        </m:oMath>
      </m:oMathPara>
    </w:p>
    <w:p w:rsidR="00BC4780" w:rsidRPr="00BC4780" w:rsidRDefault="00A75C62" w:rsidP="003D392E">
      <w:pPr>
        <w:spacing w:line="360" w:lineRule="auto"/>
        <w:jc w:val="both"/>
        <w:rPr>
          <w:rFonts w:asciiTheme="majorBidi" w:eastAsiaTheme="minorEastAsia" w:hAnsiTheme="majorBidi" w:cstheme="majorBidi"/>
          <w:bCs/>
          <w:sz w:val="24"/>
          <w:szCs w:val="24"/>
        </w:rPr>
      </w:pPr>
      <m:oMath>
        <m:sSubSup>
          <m:sSubSupPr>
            <m:ctrlPr>
              <w:rPr>
                <w:rFonts w:ascii="Cambria Math" w:eastAsiaTheme="minorEastAsia" w:hAnsi="Cambria Math" w:cstheme="majorBidi"/>
                <w:bCs/>
                <w:i/>
                <w:sz w:val="24"/>
                <w:szCs w:val="24"/>
              </w:rPr>
            </m:ctrlPr>
          </m:sSubSup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i</m:t>
            </m:r>
          </m:sub>
          <m:sup>
            <m:r>
              <w:rPr>
                <w:rFonts w:ascii="Cambria Math" w:eastAsiaTheme="minorEastAsia" w:hAnsi="Cambria Math" w:cstheme="majorBidi"/>
                <w:sz w:val="24"/>
                <w:szCs w:val="24"/>
              </w:rPr>
              <m:t>2</m:t>
            </m:r>
          </m:sup>
        </m:sSubSup>
      </m:oMath>
      <w:r w:rsidR="00BC4780">
        <w:rPr>
          <w:rFonts w:asciiTheme="majorBidi" w:eastAsiaTheme="minorEastAsia" w:hAnsiTheme="majorBidi" w:cstheme="majorBidi"/>
          <w:bCs/>
          <w:sz w:val="24"/>
          <w:szCs w:val="24"/>
        </w:rPr>
        <w:t xml:space="preserve"> </w:t>
      </w:r>
      <w:proofErr w:type="gramStart"/>
      <w:r w:rsidR="00BC4780">
        <w:rPr>
          <w:rFonts w:asciiTheme="majorBidi" w:eastAsiaTheme="minorEastAsia" w:hAnsiTheme="majorBidi" w:cstheme="majorBidi"/>
          <w:bCs/>
          <w:sz w:val="24"/>
          <w:szCs w:val="24"/>
        </w:rPr>
        <w:t>désigne</w:t>
      </w:r>
      <w:proofErr w:type="gramEnd"/>
      <w:r w:rsidR="00BC4780">
        <w:rPr>
          <w:rFonts w:asciiTheme="majorBidi" w:eastAsiaTheme="minorEastAsia" w:hAnsiTheme="majorBidi" w:cstheme="majorBidi"/>
          <w:bCs/>
          <w:sz w:val="24"/>
          <w:szCs w:val="24"/>
        </w:rPr>
        <w:t xml:space="preserve"> le pouvoir explicatif de la variable j, affecté du signe du coefficient associé à cette variable dans le modèle.</w:t>
      </w:r>
    </w:p>
    <w:p w:rsidR="00613EFB" w:rsidRDefault="00797495" w:rsidP="003D392E">
      <w:pPr>
        <w:spacing w:line="360" w:lineRule="auto"/>
        <w:jc w:val="both"/>
        <w:rPr>
          <w:rFonts w:asciiTheme="majorBidi" w:eastAsiaTheme="minorEastAsia" w:hAnsiTheme="majorBidi" w:cstheme="majorBidi"/>
          <w:bCs/>
          <w:sz w:val="24"/>
          <w:szCs w:val="24"/>
        </w:rPr>
      </w:pPr>
      <w:r>
        <w:rPr>
          <w:rFonts w:asciiTheme="majorBidi" w:eastAsiaTheme="minorEastAsia" w:hAnsiTheme="majorBidi" w:cstheme="majorBidi"/>
          <w:bCs/>
          <w:sz w:val="24"/>
          <w:szCs w:val="24"/>
        </w:rPr>
        <w:t>Par ailleurs</w:t>
      </w:r>
      <w:r w:rsidR="001559B0">
        <w:rPr>
          <w:rFonts w:asciiTheme="majorBidi" w:eastAsiaTheme="minorEastAsia" w:hAnsiTheme="majorBidi" w:cstheme="majorBidi"/>
          <w:bCs/>
          <w:sz w:val="24"/>
          <w:szCs w:val="24"/>
        </w:rPr>
        <w:t>,</w:t>
      </w:r>
      <w:r>
        <w:rPr>
          <w:rFonts w:asciiTheme="majorBidi" w:eastAsiaTheme="minorEastAsia" w:hAnsiTheme="majorBidi" w:cstheme="majorBidi"/>
          <w:bCs/>
          <w:sz w:val="24"/>
          <w:szCs w:val="24"/>
        </w:rPr>
        <w:t xml:space="preserve"> il est possible de </w:t>
      </w:r>
      <w:r w:rsidR="001559B0">
        <w:rPr>
          <w:rFonts w:asciiTheme="majorBidi" w:eastAsiaTheme="minorEastAsia" w:hAnsiTheme="majorBidi" w:cstheme="majorBidi"/>
          <w:bCs/>
          <w:sz w:val="24"/>
          <w:szCs w:val="24"/>
        </w:rPr>
        <w:t>mesure</w:t>
      </w:r>
      <w:r>
        <w:rPr>
          <w:rFonts w:asciiTheme="majorBidi" w:eastAsiaTheme="minorEastAsia" w:hAnsiTheme="majorBidi" w:cstheme="majorBidi"/>
          <w:bCs/>
          <w:sz w:val="24"/>
          <w:szCs w:val="24"/>
        </w:rPr>
        <w:t>r</w:t>
      </w:r>
      <w:r w:rsidR="001559B0">
        <w:rPr>
          <w:rFonts w:asciiTheme="majorBidi" w:eastAsiaTheme="minorEastAsia" w:hAnsiTheme="majorBidi" w:cstheme="majorBidi"/>
          <w:bCs/>
          <w:sz w:val="24"/>
          <w:szCs w:val="24"/>
        </w:rPr>
        <w:t xml:space="preserve"> l’IRE(t) en fonction d</w:t>
      </w:r>
      <w:r w:rsidR="00D26720">
        <w:rPr>
          <w:rFonts w:asciiTheme="majorBidi" w:eastAsiaTheme="minorEastAsia" w:hAnsiTheme="majorBidi" w:cstheme="majorBidi"/>
          <w:bCs/>
          <w:sz w:val="24"/>
          <w:szCs w:val="24"/>
        </w:rPr>
        <w:t>e l’exercice t</w:t>
      </w:r>
      <w:r>
        <w:rPr>
          <w:rFonts w:asciiTheme="majorBidi" w:eastAsiaTheme="minorEastAsia" w:hAnsiTheme="majorBidi" w:cstheme="majorBidi"/>
          <w:bCs/>
          <w:sz w:val="24"/>
          <w:szCs w:val="24"/>
        </w:rPr>
        <w:t xml:space="preserve">, ce qui fournit </w:t>
      </w:r>
      <w:r w:rsidR="001559B0">
        <w:rPr>
          <w:rFonts w:asciiTheme="majorBidi" w:eastAsiaTheme="minorEastAsia" w:hAnsiTheme="majorBidi" w:cstheme="majorBidi"/>
          <w:bCs/>
          <w:sz w:val="24"/>
          <w:szCs w:val="24"/>
        </w:rPr>
        <w:t>l’</w:t>
      </w:r>
      <w:r w:rsidR="00972576">
        <w:rPr>
          <w:rFonts w:asciiTheme="majorBidi" w:eastAsiaTheme="minorEastAsia" w:hAnsiTheme="majorBidi" w:cstheme="majorBidi"/>
          <w:bCs/>
          <w:sz w:val="24"/>
          <w:szCs w:val="24"/>
        </w:rPr>
        <w:t>évolution</w:t>
      </w:r>
      <w:r w:rsidR="001559B0">
        <w:rPr>
          <w:rFonts w:asciiTheme="majorBidi" w:eastAsiaTheme="minorEastAsia" w:hAnsiTheme="majorBidi" w:cstheme="majorBidi"/>
          <w:bCs/>
          <w:sz w:val="24"/>
          <w:szCs w:val="24"/>
        </w:rPr>
        <w:t xml:space="preserve"> d</w:t>
      </w:r>
      <w:r w:rsidR="00D945B6">
        <w:rPr>
          <w:rFonts w:asciiTheme="majorBidi" w:eastAsiaTheme="minorEastAsia" w:hAnsiTheme="majorBidi" w:cstheme="majorBidi"/>
          <w:bCs/>
          <w:sz w:val="24"/>
          <w:szCs w:val="24"/>
        </w:rPr>
        <w:t xml:space="preserve">e la qualité </w:t>
      </w:r>
      <w:r w:rsidR="00972576">
        <w:rPr>
          <w:rFonts w:asciiTheme="majorBidi" w:eastAsiaTheme="minorEastAsia" w:hAnsiTheme="majorBidi" w:cstheme="majorBidi"/>
          <w:bCs/>
          <w:sz w:val="24"/>
          <w:szCs w:val="24"/>
        </w:rPr>
        <w:t>de</w:t>
      </w:r>
      <w:r w:rsidR="00D945B6">
        <w:rPr>
          <w:rFonts w:asciiTheme="majorBidi" w:eastAsiaTheme="minorEastAsia" w:hAnsiTheme="majorBidi" w:cstheme="majorBidi"/>
          <w:bCs/>
          <w:sz w:val="24"/>
          <w:szCs w:val="24"/>
        </w:rPr>
        <w:t xml:space="preserve"> la</w:t>
      </w:r>
      <w:r w:rsidR="00972576">
        <w:rPr>
          <w:rFonts w:asciiTheme="majorBidi" w:eastAsiaTheme="minorEastAsia" w:hAnsiTheme="majorBidi" w:cstheme="majorBidi"/>
          <w:bCs/>
          <w:sz w:val="24"/>
          <w:szCs w:val="24"/>
        </w:rPr>
        <w:t xml:space="preserve"> répartition des ressources</w:t>
      </w:r>
      <w:r w:rsidR="001559B0">
        <w:rPr>
          <w:rFonts w:asciiTheme="majorBidi" w:eastAsiaTheme="minorEastAsia" w:hAnsiTheme="majorBidi" w:cstheme="majorBidi"/>
          <w:bCs/>
          <w:sz w:val="24"/>
          <w:szCs w:val="24"/>
        </w:rPr>
        <w:t xml:space="preserve"> (progrès réalisés dans la prise en compte des inégalités spatiales).  </w:t>
      </w:r>
    </w:p>
    <w:p w:rsidR="0013288B" w:rsidRPr="007A6825" w:rsidRDefault="0013288B" w:rsidP="003F1FA3">
      <w:pPr>
        <w:spacing w:line="360" w:lineRule="auto"/>
        <w:jc w:val="both"/>
        <w:rPr>
          <w:rFonts w:asciiTheme="majorBidi" w:hAnsiTheme="majorBidi" w:cstheme="majorBidi"/>
          <w:b/>
          <w:bCs/>
          <w:sz w:val="24"/>
          <w:szCs w:val="24"/>
        </w:rPr>
      </w:pPr>
      <w:r w:rsidRPr="007A6825">
        <w:rPr>
          <w:rFonts w:asciiTheme="majorBidi" w:hAnsiTheme="majorBidi" w:cstheme="majorBidi"/>
          <w:b/>
          <w:bCs/>
          <w:sz w:val="24"/>
          <w:szCs w:val="24"/>
        </w:rPr>
        <w:t xml:space="preserve">3. Résultats </w:t>
      </w:r>
      <w:r w:rsidR="0016509F">
        <w:rPr>
          <w:rFonts w:asciiTheme="majorBidi" w:hAnsiTheme="majorBidi" w:cstheme="majorBidi"/>
          <w:b/>
          <w:bCs/>
          <w:sz w:val="24"/>
          <w:szCs w:val="24"/>
        </w:rPr>
        <w:t>obtenus</w:t>
      </w:r>
      <w:r w:rsidRPr="007A6825">
        <w:rPr>
          <w:rFonts w:asciiTheme="majorBidi" w:hAnsiTheme="majorBidi" w:cstheme="majorBidi"/>
          <w:b/>
          <w:bCs/>
          <w:sz w:val="24"/>
          <w:szCs w:val="24"/>
        </w:rPr>
        <w:t xml:space="preserve"> </w:t>
      </w:r>
    </w:p>
    <w:p w:rsidR="00613EFB" w:rsidRDefault="00D21A48" w:rsidP="00DB1AE0">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3.1. </w:t>
      </w:r>
      <w:r w:rsidR="000F774C">
        <w:rPr>
          <w:rFonts w:asciiTheme="majorBidi" w:hAnsiTheme="majorBidi" w:cstheme="majorBidi"/>
          <w:b/>
          <w:bCs/>
          <w:sz w:val="24"/>
          <w:szCs w:val="24"/>
        </w:rPr>
        <w:t>Analyse descriptive</w:t>
      </w:r>
    </w:p>
    <w:p w:rsidR="00A44DF5" w:rsidRDefault="00D21A48" w:rsidP="00DB1AE0">
      <w:pPr>
        <w:spacing w:line="360" w:lineRule="auto"/>
        <w:jc w:val="both"/>
        <w:rPr>
          <w:rFonts w:asciiTheme="majorBidi" w:hAnsiTheme="majorBidi" w:cstheme="majorBidi"/>
          <w:bCs/>
          <w:sz w:val="24"/>
          <w:szCs w:val="24"/>
        </w:rPr>
      </w:pPr>
      <w:r w:rsidRPr="00D21A48">
        <w:rPr>
          <w:rFonts w:asciiTheme="majorBidi" w:hAnsiTheme="majorBidi" w:cstheme="majorBidi"/>
          <w:bCs/>
          <w:sz w:val="24"/>
          <w:szCs w:val="24"/>
        </w:rPr>
        <w:t>Le</w:t>
      </w:r>
      <w:r w:rsidR="006B3EB4">
        <w:rPr>
          <w:rFonts w:asciiTheme="majorBidi" w:hAnsiTheme="majorBidi" w:cstheme="majorBidi"/>
          <w:bCs/>
          <w:sz w:val="24"/>
          <w:szCs w:val="24"/>
        </w:rPr>
        <w:t>s</w:t>
      </w:r>
      <w:r w:rsidRPr="00D21A48">
        <w:rPr>
          <w:rFonts w:asciiTheme="majorBidi" w:hAnsiTheme="majorBidi" w:cstheme="majorBidi"/>
          <w:bCs/>
          <w:sz w:val="24"/>
          <w:szCs w:val="24"/>
        </w:rPr>
        <w:t xml:space="preserve"> tableau</w:t>
      </w:r>
      <w:r w:rsidR="006B3EB4">
        <w:rPr>
          <w:rFonts w:asciiTheme="majorBidi" w:hAnsiTheme="majorBidi" w:cstheme="majorBidi"/>
          <w:bCs/>
          <w:sz w:val="24"/>
          <w:szCs w:val="24"/>
        </w:rPr>
        <w:t>x</w:t>
      </w:r>
      <w:r w:rsidRPr="00D21A48">
        <w:rPr>
          <w:rFonts w:asciiTheme="majorBidi" w:hAnsiTheme="majorBidi" w:cstheme="majorBidi"/>
          <w:bCs/>
          <w:sz w:val="24"/>
          <w:szCs w:val="24"/>
        </w:rPr>
        <w:t xml:space="preserve"> ci-dessous présente</w:t>
      </w:r>
      <w:r w:rsidR="006B3EB4">
        <w:rPr>
          <w:rFonts w:asciiTheme="majorBidi" w:hAnsiTheme="majorBidi" w:cstheme="majorBidi"/>
          <w:bCs/>
          <w:sz w:val="24"/>
          <w:szCs w:val="24"/>
        </w:rPr>
        <w:t>nt quelques statistiques décrivant les variables du modèle</w:t>
      </w:r>
      <w:r w:rsidRPr="00D21A48">
        <w:rPr>
          <w:rFonts w:asciiTheme="majorBidi" w:hAnsiTheme="majorBidi" w:cstheme="majorBidi"/>
          <w:bCs/>
          <w:sz w:val="24"/>
          <w:szCs w:val="24"/>
        </w:rPr>
        <w:t>.</w:t>
      </w:r>
    </w:p>
    <w:p w:rsidR="00A44DF5" w:rsidRDefault="00A44DF5" w:rsidP="00DB1AE0">
      <w:pPr>
        <w:spacing w:line="360" w:lineRule="auto"/>
        <w:jc w:val="both"/>
        <w:rPr>
          <w:rFonts w:asciiTheme="majorBidi" w:hAnsiTheme="majorBidi" w:cstheme="majorBidi"/>
          <w:bCs/>
          <w:sz w:val="24"/>
          <w:szCs w:val="24"/>
        </w:rPr>
        <w:sectPr w:rsidR="00A44DF5" w:rsidSect="00622055">
          <w:pgSz w:w="11906" w:h="16838"/>
          <w:pgMar w:top="1440" w:right="1440" w:bottom="1440" w:left="1440" w:header="709" w:footer="709" w:gutter="0"/>
          <w:cols w:space="708"/>
          <w:titlePg/>
          <w:docGrid w:linePitch="360"/>
        </w:sectPr>
      </w:pPr>
    </w:p>
    <w:p w:rsidR="00613EFB" w:rsidRDefault="0054107E" w:rsidP="007C7AFC">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Tableau 3</w:t>
      </w:r>
      <w:r w:rsidR="0055066C">
        <w:rPr>
          <w:rFonts w:asciiTheme="majorBidi" w:hAnsiTheme="majorBidi" w:cstheme="majorBidi"/>
          <w:b/>
          <w:bCs/>
          <w:sz w:val="24"/>
          <w:szCs w:val="24"/>
        </w:rPr>
        <w:t> : Répartition des</w:t>
      </w:r>
      <w:r w:rsidR="007C7AFC">
        <w:rPr>
          <w:rFonts w:asciiTheme="majorBidi" w:hAnsiTheme="majorBidi" w:cstheme="majorBidi"/>
          <w:b/>
          <w:bCs/>
          <w:sz w:val="24"/>
          <w:szCs w:val="24"/>
        </w:rPr>
        <w:t xml:space="preserve"> ressources d’investissement et des</w:t>
      </w:r>
      <w:r w:rsidR="0055066C">
        <w:rPr>
          <w:rFonts w:asciiTheme="majorBidi" w:hAnsiTheme="majorBidi" w:cstheme="majorBidi"/>
          <w:b/>
          <w:bCs/>
          <w:sz w:val="24"/>
          <w:szCs w:val="24"/>
        </w:rPr>
        <w:t xml:space="preserve"> besoins de développement par région</w:t>
      </w:r>
      <w:r w:rsidR="007C7AFC">
        <w:rPr>
          <w:rFonts w:asciiTheme="majorBidi" w:hAnsiTheme="majorBidi" w:cstheme="majorBidi"/>
          <w:b/>
          <w:bCs/>
          <w:sz w:val="24"/>
          <w:szCs w:val="24"/>
        </w:rPr>
        <w:t xml:space="preserve"> au Cameroun en 2016</w:t>
      </w:r>
    </w:p>
    <w:tbl>
      <w:tblPr>
        <w:tblStyle w:val="TableauGrille1Clair"/>
        <w:tblW w:w="5893" w:type="pct"/>
        <w:jc w:val="center"/>
        <w:tblLayout w:type="fixed"/>
        <w:tblLook w:val="04A0" w:firstRow="1" w:lastRow="0" w:firstColumn="1" w:lastColumn="0" w:noHBand="0" w:noVBand="1"/>
      </w:tblPr>
      <w:tblGrid>
        <w:gridCol w:w="1556"/>
        <w:gridCol w:w="1135"/>
        <w:gridCol w:w="1415"/>
        <w:gridCol w:w="1845"/>
        <w:gridCol w:w="1417"/>
        <w:gridCol w:w="1417"/>
        <w:gridCol w:w="1279"/>
        <w:gridCol w:w="1134"/>
        <w:gridCol w:w="1558"/>
        <w:gridCol w:w="1276"/>
        <w:gridCol w:w="1276"/>
        <w:gridCol w:w="1131"/>
      </w:tblGrid>
      <w:tr w:rsidR="0008777E" w:rsidRPr="00925D64" w:rsidTr="00BA42A0">
        <w:trPr>
          <w:cnfStyle w:val="100000000000" w:firstRow="1" w:lastRow="0" w:firstColumn="0" w:lastColumn="0" w:oddVBand="0" w:evenVBand="0" w:oddHBand="0"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473" w:type="pct"/>
            <w:noWrap/>
            <w:vAlign w:val="center"/>
            <w:hideMark/>
          </w:tcPr>
          <w:p w:rsidR="00176913" w:rsidRPr="00925D64" w:rsidRDefault="00176913" w:rsidP="003B5672">
            <w:pPr>
              <w:spacing w:after="0" w:line="240" w:lineRule="auto"/>
              <w:jc w:val="center"/>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Région</w:t>
            </w:r>
          </w:p>
        </w:tc>
        <w:tc>
          <w:tcPr>
            <w:tcW w:w="345" w:type="pct"/>
            <w:noWrap/>
            <w:vAlign w:val="center"/>
            <w:hideMark/>
          </w:tcPr>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RI</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(en milliards)</w:t>
            </w:r>
          </w:p>
        </w:tc>
        <w:tc>
          <w:tcPr>
            <w:tcW w:w="430" w:type="pct"/>
          </w:tcPr>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Effectif de la population</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(en milliers)</w:t>
            </w:r>
          </w:p>
        </w:tc>
        <w:tc>
          <w:tcPr>
            <w:tcW w:w="561" w:type="pct"/>
            <w:vAlign w:val="center"/>
          </w:tcPr>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Poids démographique</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(en pour 100 000)</w:t>
            </w:r>
          </w:p>
        </w:tc>
        <w:tc>
          <w:tcPr>
            <w:tcW w:w="431" w:type="pct"/>
            <w:vAlign w:val="center"/>
          </w:tcPr>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 xml:space="preserve">Taux de scolarisation </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w:t>
            </w:r>
            <w:proofErr w:type="spellStart"/>
            <w:r w:rsidRPr="00925D64">
              <w:rPr>
                <w:rFonts w:ascii="Times New Roman" w:eastAsia="Times New Roman" w:hAnsi="Times New Roman" w:cs="Times New Roman"/>
                <w:color w:val="000000"/>
                <w:sz w:val="20"/>
                <w:szCs w:val="20"/>
                <w:lang w:bidi="ar-SA"/>
              </w:rPr>
              <w:t>Sc</w:t>
            </w:r>
            <w:proofErr w:type="spellEnd"/>
            <w:r w:rsidRPr="00925D64">
              <w:rPr>
                <w:rFonts w:ascii="Times New Roman" w:eastAsia="Times New Roman" w:hAnsi="Times New Roman" w:cs="Times New Roman"/>
                <w:color w:val="000000"/>
                <w:sz w:val="20"/>
                <w:szCs w:val="20"/>
                <w:lang w:bidi="ar-SA"/>
              </w:rPr>
              <w:t xml:space="preserve"> en %)</w:t>
            </w:r>
          </w:p>
        </w:tc>
        <w:tc>
          <w:tcPr>
            <w:tcW w:w="431" w:type="pct"/>
            <w:vAlign w:val="center"/>
          </w:tcPr>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Besoins de scolarisation</w:t>
            </w:r>
          </w:p>
          <w:p w:rsidR="0008777E"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 xml:space="preserve">1 – </w:t>
            </w:r>
            <w:proofErr w:type="spellStart"/>
            <w:r w:rsidRPr="00925D64">
              <w:rPr>
                <w:rFonts w:ascii="Times New Roman" w:eastAsia="Times New Roman" w:hAnsi="Times New Roman" w:cs="Times New Roman"/>
                <w:color w:val="000000"/>
                <w:sz w:val="20"/>
                <w:szCs w:val="20"/>
                <w:lang w:bidi="ar-SA"/>
              </w:rPr>
              <w:t>Sc</w:t>
            </w:r>
            <w:proofErr w:type="spellEnd"/>
            <w:r w:rsidRPr="00925D64">
              <w:rPr>
                <w:rFonts w:ascii="Times New Roman" w:eastAsia="Times New Roman" w:hAnsi="Times New Roman" w:cs="Times New Roman"/>
                <w:color w:val="000000"/>
                <w:sz w:val="20"/>
                <w:szCs w:val="20"/>
                <w:lang w:bidi="ar-SA"/>
              </w:rPr>
              <w:t xml:space="preserve"> </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(en %)</w:t>
            </w:r>
          </w:p>
        </w:tc>
        <w:tc>
          <w:tcPr>
            <w:tcW w:w="389" w:type="pct"/>
            <w:vAlign w:val="center"/>
          </w:tcPr>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 xml:space="preserve">Taux de couverture vaccinale </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(Sa en %)</w:t>
            </w:r>
          </w:p>
        </w:tc>
        <w:tc>
          <w:tcPr>
            <w:tcW w:w="345" w:type="pct"/>
            <w:vAlign w:val="center"/>
          </w:tcPr>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Besoins</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de santé</w:t>
            </w:r>
          </w:p>
          <w:p w:rsidR="00BA42A0"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 xml:space="preserve">1 – Sa </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(en %)</w:t>
            </w:r>
          </w:p>
        </w:tc>
        <w:tc>
          <w:tcPr>
            <w:tcW w:w="474" w:type="pct"/>
            <w:noWrap/>
            <w:vAlign w:val="center"/>
            <w:hideMark/>
          </w:tcPr>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 xml:space="preserve">Taux d’accès à </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 xml:space="preserve">l’Eau Potable </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(Ep en %)</w:t>
            </w:r>
          </w:p>
        </w:tc>
        <w:tc>
          <w:tcPr>
            <w:tcW w:w="388" w:type="pct"/>
            <w:vAlign w:val="center"/>
          </w:tcPr>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Besoins en</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eau potable</w:t>
            </w:r>
          </w:p>
          <w:p w:rsidR="0008777E"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 xml:space="preserve">1 – Ep </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(en %)</w:t>
            </w:r>
          </w:p>
        </w:tc>
        <w:tc>
          <w:tcPr>
            <w:tcW w:w="388" w:type="pct"/>
            <w:vAlign w:val="center"/>
          </w:tcPr>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Taux d’accès à l’électricité</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 xml:space="preserve"> (El en %)</w:t>
            </w:r>
          </w:p>
        </w:tc>
        <w:tc>
          <w:tcPr>
            <w:tcW w:w="344" w:type="pct"/>
            <w:vAlign w:val="center"/>
          </w:tcPr>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Besoins en électricité</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1 - El</w:t>
            </w:r>
          </w:p>
          <w:p w:rsidR="00176913" w:rsidRPr="00925D64" w:rsidRDefault="00176913" w:rsidP="003B56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bidi="ar-SA"/>
              </w:rPr>
            </w:pPr>
            <w:r w:rsidRPr="00925D64">
              <w:rPr>
                <w:rFonts w:ascii="Times New Roman" w:eastAsia="Times New Roman" w:hAnsi="Times New Roman" w:cs="Times New Roman"/>
                <w:color w:val="000000"/>
                <w:sz w:val="20"/>
                <w:szCs w:val="20"/>
                <w:lang w:bidi="ar-SA"/>
              </w:rPr>
              <w:t>(en %)</w:t>
            </w:r>
          </w:p>
        </w:tc>
      </w:tr>
      <w:tr w:rsidR="003B5672" w:rsidRPr="00925D64" w:rsidTr="00925D64">
        <w:trPr>
          <w:trHeight w:val="122"/>
          <w:jc w:val="center"/>
        </w:trPr>
        <w:tc>
          <w:tcPr>
            <w:cnfStyle w:val="001000000000" w:firstRow="0" w:lastRow="0" w:firstColumn="1" w:lastColumn="0" w:oddVBand="0" w:evenVBand="0" w:oddHBand="0" w:evenHBand="0" w:firstRowFirstColumn="0" w:firstRowLastColumn="0" w:lastRowFirstColumn="0" w:lastRowLastColumn="0"/>
            <w:tcW w:w="473" w:type="pct"/>
            <w:noWrap/>
            <w:hideMark/>
          </w:tcPr>
          <w:p w:rsidR="003B5672" w:rsidRPr="00925D64" w:rsidRDefault="003B5672" w:rsidP="003B5672">
            <w:pPr>
              <w:spacing w:after="0" w:line="240" w:lineRule="auto"/>
              <w:rPr>
                <w:rFonts w:ascii="Times New Roman" w:eastAsia="Times New Roman" w:hAnsi="Times New Roman" w:cs="Times New Roman"/>
                <w:b w:val="0"/>
                <w:color w:val="000000"/>
                <w:lang w:bidi="ar-SA"/>
              </w:rPr>
            </w:pPr>
            <w:r w:rsidRPr="00925D64">
              <w:rPr>
                <w:rFonts w:ascii="Times New Roman" w:eastAsia="Times New Roman" w:hAnsi="Times New Roman" w:cs="Times New Roman"/>
                <w:b w:val="0"/>
                <w:color w:val="000000"/>
                <w:lang w:bidi="ar-SA"/>
              </w:rPr>
              <w:t>Adamaoua</w:t>
            </w:r>
          </w:p>
        </w:tc>
        <w:tc>
          <w:tcPr>
            <w:tcW w:w="345"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3,0</w:t>
            </w:r>
          </w:p>
        </w:tc>
        <w:tc>
          <w:tcPr>
            <w:tcW w:w="430"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1 300 525,6</w:t>
            </w:r>
          </w:p>
        </w:tc>
        <w:tc>
          <w:tcPr>
            <w:tcW w:w="56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5 450,3</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74,0   </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26,0   </w:t>
            </w:r>
          </w:p>
        </w:tc>
        <w:tc>
          <w:tcPr>
            <w:tcW w:w="389"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67,7   </w:t>
            </w:r>
          </w:p>
        </w:tc>
        <w:tc>
          <w:tcPr>
            <w:tcW w:w="345"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32,3   </w:t>
            </w:r>
          </w:p>
        </w:tc>
        <w:tc>
          <w:tcPr>
            <w:tcW w:w="474"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67,5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32,5   </w:t>
            </w:r>
          </w:p>
        </w:tc>
        <w:tc>
          <w:tcPr>
            <w:tcW w:w="388" w:type="pct"/>
            <w:vAlign w:val="center"/>
          </w:tcPr>
          <w:p w:rsidR="003B5672" w:rsidRPr="003B5672" w:rsidRDefault="00925D64"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Pr>
                <w:rFonts w:ascii="Times New Roman" w:eastAsia="Times New Roman" w:hAnsi="Times New Roman" w:cs="Times New Roman"/>
                <w:color w:val="000000"/>
                <w:sz w:val="20"/>
                <w:szCs w:val="20"/>
                <w:lang w:eastAsia="fr-FR" w:bidi="ar-SA"/>
              </w:rPr>
              <w:t>36,6</w:t>
            </w:r>
          </w:p>
        </w:tc>
        <w:tc>
          <w:tcPr>
            <w:tcW w:w="344" w:type="pct"/>
            <w:vAlign w:val="center"/>
          </w:tcPr>
          <w:p w:rsidR="003B5672" w:rsidRPr="00925D64"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5D64">
              <w:rPr>
                <w:rFonts w:ascii="Times New Roman" w:hAnsi="Times New Roman" w:cs="Times New Roman"/>
                <w:sz w:val="20"/>
                <w:szCs w:val="20"/>
              </w:rPr>
              <w:t>63,4</w:t>
            </w:r>
          </w:p>
        </w:tc>
      </w:tr>
      <w:tr w:rsidR="003B5672" w:rsidRPr="00925D64" w:rsidTr="00925D64">
        <w:trPr>
          <w:trHeight w:val="290"/>
          <w:jc w:val="center"/>
        </w:trPr>
        <w:tc>
          <w:tcPr>
            <w:cnfStyle w:val="001000000000" w:firstRow="0" w:lastRow="0" w:firstColumn="1" w:lastColumn="0" w:oddVBand="0" w:evenVBand="0" w:oddHBand="0" w:evenHBand="0" w:firstRowFirstColumn="0" w:firstRowLastColumn="0" w:lastRowFirstColumn="0" w:lastRowLastColumn="0"/>
            <w:tcW w:w="473" w:type="pct"/>
            <w:noWrap/>
            <w:hideMark/>
          </w:tcPr>
          <w:p w:rsidR="003B5672" w:rsidRPr="00925D64" w:rsidRDefault="003B5672" w:rsidP="003B5672">
            <w:pPr>
              <w:spacing w:after="0" w:line="240" w:lineRule="auto"/>
              <w:rPr>
                <w:rFonts w:ascii="Times New Roman" w:eastAsia="Times New Roman" w:hAnsi="Times New Roman" w:cs="Times New Roman"/>
                <w:b w:val="0"/>
                <w:color w:val="000000"/>
                <w:lang w:bidi="ar-SA"/>
              </w:rPr>
            </w:pPr>
            <w:r w:rsidRPr="00925D64">
              <w:rPr>
                <w:rFonts w:ascii="Times New Roman" w:eastAsia="Times New Roman" w:hAnsi="Times New Roman" w:cs="Times New Roman"/>
                <w:b w:val="0"/>
                <w:color w:val="000000"/>
                <w:lang w:bidi="ar-SA"/>
              </w:rPr>
              <w:t>Centre</w:t>
            </w:r>
          </w:p>
        </w:tc>
        <w:tc>
          <w:tcPr>
            <w:tcW w:w="345"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12,0</w:t>
            </w:r>
          </w:p>
        </w:tc>
        <w:tc>
          <w:tcPr>
            <w:tcW w:w="430"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4 543 246,7</w:t>
            </w:r>
          </w:p>
        </w:tc>
        <w:tc>
          <w:tcPr>
            <w:tcW w:w="56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19 040,1</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90,5   </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9,5   </w:t>
            </w:r>
          </w:p>
        </w:tc>
        <w:tc>
          <w:tcPr>
            <w:tcW w:w="389"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81,3   </w:t>
            </w:r>
          </w:p>
        </w:tc>
        <w:tc>
          <w:tcPr>
            <w:tcW w:w="345"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18,7   </w:t>
            </w:r>
          </w:p>
        </w:tc>
        <w:tc>
          <w:tcPr>
            <w:tcW w:w="474"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70,3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29,7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52,8   </w:t>
            </w:r>
          </w:p>
        </w:tc>
        <w:tc>
          <w:tcPr>
            <w:tcW w:w="344" w:type="pct"/>
            <w:vAlign w:val="center"/>
          </w:tcPr>
          <w:p w:rsidR="003B5672" w:rsidRPr="00925D64"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5D64">
              <w:rPr>
                <w:rFonts w:ascii="Times New Roman" w:hAnsi="Times New Roman" w:cs="Times New Roman"/>
                <w:sz w:val="20"/>
                <w:szCs w:val="20"/>
              </w:rPr>
              <w:t>47,2</w:t>
            </w:r>
          </w:p>
        </w:tc>
      </w:tr>
      <w:tr w:rsidR="003B5672" w:rsidRPr="00925D64" w:rsidTr="00925D64">
        <w:trPr>
          <w:trHeight w:val="290"/>
          <w:jc w:val="center"/>
        </w:trPr>
        <w:tc>
          <w:tcPr>
            <w:cnfStyle w:val="001000000000" w:firstRow="0" w:lastRow="0" w:firstColumn="1" w:lastColumn="0" w:oddVBand="0" w:evenVBand="0" w:oddHBand="0" w:evenHBand="0" w:firstRowFirstColumn="0" w:firstRowLastColumn="0" w:lastRowFirstColumn="0" w:lastRowLastColumn="0"/>
            <w:tcW w:w="473" w:type="pct"/>
            <w:noWrap/>
            <w:hideMark/>
          </w:tcPr>
          <w:p w:rsidR="003B5672" w:rsidRPr="00925D64" w:rsidRDefault="003B5672" w:rsidP="003B5672">
            <w:pPr>
              <w:spacing w:after="0" w:line="240" w:lineRule="auto"/>
              <w:rPr>
                <w:rFonts w:ascii="Times New Roman" w:eastAsia="Times New Roman" w:hAnsi="Times New Roman" w:cs="Times New Roman"/>
                <w:b w:val="0"/>
                <w:color w:val="000000"/>
                <w:lang w:bidi="ar-SA"/>
              </w:rPr>
            </w:pPr>
            <w:r w:rsidRPr="00925D64">
              <w:rPr>
                <w:rFonts w:ascii="Times New Roman" w:eastAsia="Times New Roman" w:hAnsi="Times New Roman" w:cs="Times New Roman"/>
                <w:b w:val="0"/>
                <w:color w:val="000000"/>
                <w:lang w:bidi="ar-SA"/>
              </w:rPr>
              <w:t>Est</w:t>
            </w:r>
          </w:p>
        </w:tc>
        <w:tc>
          <w:tcPr>
            <w:tcW w:w="345"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3,5</w:t>
            </w:r>
          </w:p>
        </w:tc>
        <w:tc>
          <w:tcPr>
            <w:tcW w:w="430"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857 336,7</w:t>
            </w:r>
          </w:p>
        </w:tc>
        <w:tc>
          <w:tcPr>
            <w:tcW w:w="56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3 593,0</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81,2   </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18,8   </w:t>
            </w:r>
          </w:p>
        </w:tc>
        <w:tc>
          <w:tcPr>
            <w:tcW w:w="389"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79,1   </w:t>
            </w:r>
          </w:p>
        </w:tc>
        <w:tc>
          <w:tcPr>
            <w:tcW w:w="345"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20,9   </w:t>
            </w:r>
          </w:p>
        </w:tc>
        <w:tc>
          <w:tcPr>
            <w:tcW w:w="474"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41,5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58,5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26,1   </w:t>
            </w:r>
          </w:p>
        </w:tc>
        <w:tc>
          <w:tcPr>
            <w:tcW w:w="344" w:type="pct"/>
            <w:vAlign w:val="center"/>
          </w:tcPr>
          <w:p w:rsidR="003B5672" w:rsidRPr="00925D64"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5D64">
              <w:rPr>
                <w:rFonts w:ascii="Times New Roman" w:hAnsi="Times New Roman" w:cs="Times New Roman"/>
                <w:sz w:val="20"/>
                <w:szCs w:val="20"/>
              </w:rPr>
              <w:t xml:space="preserve">73,9   </w:t>
            </w:r>
          </w:p>
        </w:tc>
      </w:tr>
      <w:tr w:rsidR="003B5672" w:rsidRPr="00925D64" w:rsidTr="00925D64">
        <w:trPr>
          <w:trHeight w:val="290"/>
          <w:jc w:val="center"/>
        </w:trPr>
        <w:tc>
          <w:tcPr>
            <w:cnfStyle w:val="001000000000" w:firstRow="0" w:lastRow="0" w:firstColumn="1" w:lastColumn="0" w:oddVBand="0" w:evenVBand="0" w:oddHBand="0" w:evenHBand="0" w:firstRowFirstColumn="0" w:firstRowLastColumn="0" w:lastRowFirstColumn="0" w:lastRowLastColumn="0"/>
            <w:tcW w:w="473" w:type="pct"/>
            <w:noWrap/>
            <w:hideMark/>
          </w:tcPr>
          <w:p w:rsidR="003B5672" w:rsidRPr="00925D64" w:rsidRDefault="003B5672" w:rsidP="003B5672">
            <w:pPr>
              <w:spacing w:after="0" w:line="240" w:lineRule="auto"/>
              <w:rPr>
                <w:rFonts w:ascii="Times New Roman" w:eastAsia="Times New Roman" w:hAnsi="Times New Roman" w:cs="Times New Roman"/>
                <w:b w:val="0"/>
                <w:color w:val="000000"/>
                <w:lang w:bidi="ar-SA"/>
              </w:rPr>
            </w:pPr>
            <w:r w:rsidRPr="00925D64">
              <w:rPr>
                <w:rFonts w:ascii="Times New Roman" w:eastAsia="Times New Roman" w:hAnsi="Times New Roman" w:cs="Times New Roman"/>
                <w:b w:val="0"/>
                <w:color w:val="000000"/>
                <w:lang w:bidi="ar-SA"/>
              </w:rPr>
              <w:t>Extrême-Nord</w:t>
            </w:r>
          </w:p>
        </w:tc>
        <w:tc>
          <w:tcPr>
            <w:tcW w:w="345"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5,6</w:t>
            </w:r>
          </w:p>
        </w:tc>
        <w:tc>
          <w:tcPr>
            <w:tcW w:w="430"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4 307 788,0</w:t>
            </w:r>
          </w:p>
        </w:tc>
        <w:tc>
          <w:tcPr>
            <w:tcW w:w="56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18 053,3</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54,8   </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45,2   </w:t>
            </w:r>
          </w:p>
        </w:tc>
        <w:tc>
          <w:tcPr>
            <w:tcW w:w="389"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46,0   </w:t>
            </w:r>
          </w:p>
        </w:tc>
        <w:tc>
          <w:tcPr>
            <w:tcW w:w="345"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54,0   </w:t>
            </w:r>
          </w:p>
        </w:tc>
        <w:tc>
          <w:tcPr>
            <w:tcW w:w="474"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56,5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43,5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11,2   </w:t>
            </w:r>
          </w:p>
        </w:tc>
        <w:tc>
          <w:tcPr>
            <w:tcW w:w="344" w:type="pct"/>
            <w:vAlign w:val="center"/>
          </w:tcPr>
          <w:p w:rsidR="003B5672" w:rsidRPr="00925D64"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5D64">
              <w:rPr>
                <w:rFonts w:ascii="Times New Roman" w:hAnsi="Times New Roman" w:cs="Times New Roman"/>
                <w:sz w:val="20"/>
                <w:szCs w:val="20"/>
              </w:rPr>
              <w:t xml:space="preserve">88,8   </w:t>
            </w:r>
          </w:p>
        </w:tc>
      </w:tr>
      <w:tr w:rsidR="003B5672" w:rsidRPr="00925D64" w:rsidTr="00925D64">
        <w:trPr>
          <w:trHeight w:val="290"/>
          <w:jc w:val="center"/>
        </w:trPr>
        <w:tc>
          <w:tcPr>
            <w:cnfStyle w:val="001000000000" w:firstRow="0" w:lastRow="0" w:firstColumn="1" w:lastColumn="0" w:oddVBand="0" w:evenVBand="0" w:oddHBand="0" w:evenHBand="0" w:firstRowFirstColumn="0" w:firstRowLastColumn="0" w:lastRowFirstColumn="0" w:lastRowLastColumn="0"/>
            <w:tcW w:w="473" w:type="pct"/>
            <w:noWrap/>
            <w:hideMark/>
          </w:tcPr>
          <w:p w:rsidR="003B5672" w:rsidRPr="00925D64" w:rsidRDefault="003B5672" w:rsidP="003B5672">
            <w:pPr>
              <w:spacing w:after="0" w:line="240" w:lineRule="auto"/>
              <w:rPr>
                <w:rFonts w:ascii="Times New Roman" w:eastAsia="Times New Roman" w:hAnsi="Times New Roman" w:cs="Times New Roman"/>
                <w:b w:val="0"/>
                <w:color w:val="000000"/>
                <w:lang w:bidi="ar-SA"/>
              </w:rPr>
            </w:pPr>
            <w:r w:rsidRPr="00925D64">
              <w:rPr>
                <w:rFonts w:ascii="Times New Roman" w:eastAsia="Times New Roman" w:hAnsi="Times New Roman" w:cs="Times New Roman"/>
                <w:b w:val="0"/>
                <w:color w:val="000000"/>
                <w:lang w:bidi="ar-SA"/>
              </w:rPr>
              <w:t>Littoral</w:t>
            </w:r>
          </w:p>
        </w:tc>
        <w:tc>
          <w:tcPr>
            <w:tcW w:w="345"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5,2</w:t>
            </w:r>
          </w:p>
        </w:tc>
        <w:tc>
          <w:tcPr>
            <w:tcW w:w="430"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3 668 542,9</w:t>
            </w:r>
          </w:p>
        </w:tc>
        <w:tc>
          <w:tcPr>
            <w:tcW w:w="56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15 374,3</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91,9   </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8,1   </w:t>
            </w:r>
          </w:p>
        </w:tc>
        <w:tc>
          <w:tcPr>
            <w:tcW w:w="389"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88,4   </w:t>
            </w:r>
          </w:p>
        </w:tc>
        <w:tc>
          <w:tcPr>
            <w:tcW w:w="345"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11,6   </w:t>
            </w:r>
          </w:p>
        </w:tc>
        <w:tc>
          <w:tcPr>
            <w:tcW w:w="474"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62,8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37,2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67,9   </w:t>
            </w:r>
          </w:p>
        </w:tc>
        <w:tc>
          <w:tcPr>
            <w:tcW w:w="344" w:type="pct"/>
            <w:vAlign w:val="center"/>
          </w:tcPr>
          <w:p w:rsidR="003B5672" w:rsidRPr="00925D64"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5D64">
              <w:rPr>
                <w:rFonts w:ascii="Times New Roman" w:hAnsi="Times New Roman" w:cs="Times New Roman"/>
                <w:sz w:val="20"/>
                <w:szCs w:val="20"/>
              </w:rPr>
              <w:t xml:space="preserve">32,1   </w:t>
            </w:r>
          </w:p>
        </w:tc>
      </w:tr>
      <w:tr w:rsidR="003B5672" w:rsidRPr="00925D64" w:rsidTr="00925D64">
        <w:trPr>
          <w:trHeight w:val="290"/>
          <w:jc w:val="center"/>
        </w:trPr>
        <w:tc>
          <w:tcPr>
            <w:cnfStyle w:val="001000000000" w:firstRow="0" w:lastRow="0" w:firstColumn="1" w:lastColumn="0" w:oddVBand="0" w:evenVBand="0" w:oddHBand="0" w:evenHBand="0" w:firstRowFirstColumn="0" w:firstRowLastColumn="0" w:lastRowFirstColumn="0" w:lastRowLastColumn="0"/>
            <w:tcW w:w="473" w:type="pct"/>
            <w:noWrap/>
            <w:hideMark/>
          </w:tcPr>
          <w:p w:rsidR="003B5672" w:rsidRPr="00925D64" w:rsidRDefault="003B5672" w:rsidP="003B5672">
            <w:pPr>
              <w:spacing w:after="0" w:line="240" w:lineRule="auto"/>
              <w:rPr>
                <w:rFonts w:ascii="Times New Roman" w:eastAsia="Times New Roman" w:hAnsi="Times New Roman" w:cs="Times New Roman"/>
                <w:b w:val="0"/>
                <w:color w:val="000000"/>
                <w:lang w:bidi="ar-SA"/>
              </w:rPr>
            </w:pPr>
            <w:r w:rsidRPr="00925D64">
              <w:rPr>
                <w:rFonts w:ascii="Times New Roman" w:eastAsia="Times New Roman" w:hAnsi="Times New Roman" w:cs="Times New Roman"/>
                <w:b w:val="0"/>
                <w:color w:val="000000"/>
                <w:lang w:bidi="ar-SA"/>
              </w:rPr>
              <w:t>Nord</w:t>
            </w:r>
          </w:p>
        </w:tc>
        <w:tc>
          <w:tcPr>
            <w:tcW w:w="345"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3,5</w:t>
            </w:r>
          </w:p>
        </w:tc>
        <w:tc>
          <w:tcPr>
            <w:tcW w:w="430"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2 770 105,9</w:t>
            </w:r>
          </w:p>
        </w:tc>
        <w:tc>
          <w:tcPr>
            <w:tcW w:w="56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11 609,1</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66,7   </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33,3   </w:t>
            </w:r>
          </w:p>
        </w:tc>
        <w:tc>
          <w:tcPr>
            <w:tcW w:w="389"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59,5   </w:t>
            </w:r>
          </w:p>
        </w:tc>
        <w:tc>
          <w:tcPr>
            <w:tcW w:w="345"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40,5   </w:t>
            </w:r>
          </w:p>
        </w:tc>
        <w:tc>
          <w:tcPr>
            <w:tcW w:w="474"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53,8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46,2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23,6   </w:t>
            </w:r>
          </w:p>
        </w:tc>
        <w:tc>
          <w:tcPr>
            <w:tcW w:w="344" w:type="pct"/>
            <w:vAlign w:val="center"/>
          </w:tcPr>
          <w:p w:rsidR="003B5672" w:rsidRPr="00925D64"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5D64">
              <w:rPr>
                <w:rFonts w:ascii="Times New Roman" w:hAnsi="Times New Roman" w:cs="Times New Roman"/>
                <w:sz w:val="20"/>
                <w:szCs w:val="20"/>
              </w:rPr>
              <w:t xml:space="preserve">76,4   </w:t>
            </w:r>
          </w:p>
        </w:tc>
      </w:tr>
      <w:tr w:rsidR="003B5672" w:rsidRPr="00925D64" w:rsidTr="00925D64">
        <w:trPr>
          <w:trHeight w:val="290"/>
          <w:jc w:val="center"/>
        </w:trPr>
        <w:tc>
          <w:tcPr>
            <w:cnfStyle w:val="001000000000" w:firstRow="0" w:lastRow="0" w:firstColumn="1" w:lastColumn="0" w:oddVBand="0" w:evenVBand="0" w:oddHBand="0" w:evenHBand="0" w:firstRowFirstColumn="0" w:firstRowLastColumn="0" w:lastRowFirstColumn="0" w:lastRowLastColumn="0"/>
            <w:tcW w:w="473" w:type="pct"/>
            <w:noWrap/>
            <w:hideMark/>
          </w:tcPr>
          <w:p w:rsidR="003B5672" w:rsidRPr="00925D64" w:rsidRDefault="003B5672" w:rsidP="003B5672">
            <w:pPr>
              <w:spacing w:after="0" w:line="240" w:lineRule="auto"/>
              <w:rPr>
                <w:rFonts w:ascii="Times New Roman" w:eastAsia="Times New Roman" w:hAnsi="Times New Roman" w:cs="Times New Roman"/>
                <w:b w:val="0"/>
                <w:color w:val="000000"/>
                <w:lang w:bidi="ar-SA"/>
              </w:rPr>
            </w:pPr>
            <w:r w:rsidRPr="00925D64">
              <w:rPr>
                <w:rFonts w:ascii="Times New Roman" w:eastAsia="Times New Roman" w:hAnsi="Times New Roman" w:cs="Times New Roman"/>
                <w:b w:val="0"/>
                <w:color w:val="000000"/>
                <w:lang w:bidi="ar-SA"/>
              </w:rPr>
              <w:t>Nord-Ouest</w:t>
            </w:r>
          </w:p>
        </w:tc>
        <w:tc>
          <w:tcPr>
            <w:tcW w:w="345"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4,9</w:t>
            </w:r>
          </w:p>
        </w:tc>
        <w:tc>
          <w:tcPr>
            <w:tcW w:w="430"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2 031 799,1</w:t>
            </w:r>
          </w:p>
        </w:tc>
        <w:tc>
          <w:tcPr>
            <w:tcW w:w="56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8 515,0</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87,5   </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12,5   </w:t>
            </w:r>
          </w:p>
        </w:tc>
        <w:tc>
          <w:tcPr>
            <w:tcW w:w="389"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94,4   </w:t>
            </w:r>
          </w:p>
        </w:tc>
        <w:tc>
          <w:tcPr>
            <w:tcW w:w="345"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5,6   </w:t>
            </w:r>
          </w:p>
        </w:tc>
        <w:tc>
          <w:tcPr>
            <w:tcW w:w="474"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62,7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37,3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39,6   </w:t>
            </w:r>
          </w:p>
        </w:tc>
        <w:tc>
          <w:tcPr>
            <w:tcW w:w="344" w:type="pct"/>
            <w:vAlign w:val="center"/>
          </w:tcPr>
          <w:p w:rsidR="003B5672" w:rsidRPr="00925D64"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5D64">
              <w:rPr>
                <w:rFonts w:ascii="Times New Roman" w:hAnsi="Times New Roman" w:cs="Times New Roman"/>
                <w:sz w:val="20"/>
                <w:szCs w:val="20"/>
              </w:rPr>
              <w:t xml:space="preserve">60,4   </w:t>
            </w:r>
          </w:p>
        </w:tc>
      </w:tr>
      <w:tr w:rsidR="003B5672" w:rsidRPr="00925D64" w:rsidTr="00925D64">
        <w:trPr>
          <w:trHeight w:val="290"/>
          <w:jc w:val="center"/>
        </w:trPr>
        <w:tc>
          <w:tcPr>
            <w:cnfStyle w:val="001000000000" w:firstRow="0" w:lastRow="0" w:firstColumn="1" w:lastColumn="0" w:oddVBand="0" w:evenVBand="0" w:oddHBand="0" w:evenHBand="0" w:firstRowFirstColumn="0" w:firstRowLastColumn="0" w:lastRowFirstColumn="0" w:lastRowLastColumn="0"/>
            <w:tcW w:w="473" w:type="pct"/>
            <w:noWrap/>
            <w:hideMark/>
          </w:tcPr>
          <w:p w:rsidR="003B5672" w:rsidRPr="00925D64" w:rsidRDefault="003B5672" w:rsidP="003B5672">
            <w:pPr>
              <w:spacing w:after="0" w:line="240" w:lineRule="auto"/>
              <w:rPr>
                <w:rFonts w:ascii="Times New Roman" w:eastAsia="Times New Roman" w:hAnsi="Times New Roman" w:cs="Times New Roman"/>
                <w:b w:val="0"/>
                <w:color w:val="000000"/>
                <w:lang w:bidi="ar-SA"/>
              </w:rPr>
            </w:pPr>
            <w:r w:rsidRPr="00925D64">
              <w:rPr>
                <w:rFonts w:ascii="Times New Roman" w:eastAsia="Times New Roman" w:hAnsi="Times New Roman" w:cs="Times New Roman"/>
                <w:b w:val="0"/>
                <w:color w:val="000000"/>
                <w:lang w:bidi="ar-SA"/>
              </w:rPr>
              <w:t>Ouest</w:t>
            </w:r>
          </w:p>
        </w:tc>
        <w:tc>
          <w:tcPr>
            <w:tcW w:w="345"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6,9</w:t>
            </w:r>
          </w:p>
        </w:tc>
        <w:tc>
          <w:tcPr>
            <w:tcW w:w="430"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1 974 664,3</w:t>
            </w:r>
          </w:p>
        </w:tc>
        <w:tc>
          <w:tcPr>
            <w:tcW w:w="56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8 275,5</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92,5   </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7,5   </w:t>
            </w:r>
          </w:p>
        </w:tc>
        <w:tc>
          <w:tcPr>
            <w:tcW w:w="389"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90,2   </w:t>
            </w:r>
          </w:p>
        </w:tc>
        <w:tc>
          <w:tcPr>
            <w:tcW w:w="345"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9,8   </w:t>
            </w:r>
          </w:p>
        </w:tc>
        <w:tc>
          <w:tcPr>
            <w:tcW w:w="474"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61,9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38,1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55,3   </w:t>
            </w:r>
          </w:p>
        </w:tc>
        <w:tc>
          <w:tcPr>
            <w:tcW w:w="344" w:type="pct"/>
            <w:vAlign w:val="center"/>
          </w:tcPr>
          <w:p w:rsidR="003B5672" w:rsidRPr="00925D64"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5D64">
              <w:rPr>
                <w:rFonts w:ascii="Times New Roman" w:hAnsi="Times New Roman" w:cs="Times New Roman"/>
                <w:sz w:val="20"/>
                <w:szCs w:val="20"/>
              </w:rPr>
              <w:t xml:space="preserve">44,7   </w:t>
            </w:r>
          </w:p>
        </w:tc>
      </w:tr>
      <w:tr w:rsidR="003B5672" w:rsidRPr="00925D64" w:rsidTr="00925D64">
        <w:trPr>
          <w:trHeight w:val="290"/>
          <w:jc w:val="center"/>
        </w:trPr>
        <w:tc>
          <w:tcPr>
            <w:cnfStyle w:val="001000000000" w:firstRow="0" w:lastRow="0" w:firstColumn="1" w:lastColumn="0" w:oddVBand="0" w:evenVBand="0" w:oddHBand="0" w:evenHBand="0" w:firstRowFirstColumn="0" w:firstRowLastColumn="0" w:lastRowFirstColumn="0" w:lastRowLastColumn="0"/>
            <w:tcW w:w="473" w:type="pct"/>
            <w:noWrap/>
            <w:hideMark/>
          </w:tcPr>
          <w:p w:rsidR="003B5672" w:rsidRPr="00925D64" w:rsidRDefault="003B5672" w:rsidP="003B5672">
            <w:pPr>
              <w:spacing w:after="0" w:line="240" w:lineRule="auto"/>
              <w:rPr>
                <w:rFonts w:ascii="Times New Roman" w:eastAsia="Times New Roman" w:hAnsi="Times New Roman" w:cs="Times New Roman"/>
                <w:b w:val="0"/>
                <w:color w:val="000000"/>
                <w:lang w:bidi="ar-SA"/>
              </w:rPr>
            </w:pPr>
            <w:r w:rsidRPr="00925D64">
              <w:rPr>
                <w:rFonts w:ascii="Times New Roman" w:eastAsia="Times New Roman" w:hAnsi="Times New Roman" w:cs="Times New Roman"/>
                <w:b w:val="0"/>
                <w:color w:val="000000"/>
                <w:lang w:bidi="ar-SA"/>
              </w:rPr>
              <w:t>Sud</w:t>
            </w:r>
          </w:p>
        </w:tc>
        <w:tc>
          <w:tcPr>
            <w:tcW w:w="345"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5,6</w:t>
            </w:r>
          </w:p>
        </w:tc>
        <w:tc>
          <w:tcPr>
            <w:tcW w:w="430"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793 312,2</w:t>
            </w:r>
          </w:p>
        </w:tc>
        <w:tc>
          <w:tcPr>
            <w:tcW w:w="56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3 324,7</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90,1   </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9,9   </w:t>
            </w:r>
          </w:p>
        </w:tc>
        <w:tc>
          <w:tcPr>
            <w:tcW w:w="389"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76,8   </w:t>
            </w:r>
          </w:p>
        </w:tc>
        <w:tc>
          <w:tcPr>
            <w:tcW w:w="345"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23,2   </w:t>
            </w:r>
          </w:p>
        </w:tc>
        <w:tc>
          <w:tcPr>
            <w:tcW w:w="474"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66,2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33,8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58,1   </w:t>
            </w:r>
          </w:p>
        </w:tc>
        <w:tc>
          <w:tcPr>
            <w:tcW w:w="344" w:type="pct"/>
            <w:vAlign w:val="center"/>
          </w:tcPr>
          <w:p w:rsidR="003B5672" w:rsidRPr="00925D64"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5D64">
              <w:rPr>
                <w:rFonts w:ascii="Times New Roman" w:hAnsi="Times New Roman" w:cs="Times New Roman"/>
                <w:sz w:val="20"/>
                <w:szCs w:val="20"/>
              </w:rPr>
              <w:t xml:space="preserve">41,9   </w:t>
            </w:r>
          </w:p>
        </w:tc>
      </w:tr>
      <w:tr w:rsidR="003B5672" w:rsidRPr="00925D64" w:rsidTr="00925D64">
        <w:trPr>
          <w:trHeight w:val="290"/>
          <w:jc w:val="center"/>
        </w:trPr>
        <w:tc>
          <w:tcPr>
            <w:cnfStyle w:val="001000000000" w:firstRow="0" w:lastRow="0" w:firstColumn="1" w:lastColumn="0" w:oddVBand="0" w:evenVBand="0" w:oddHBand="0" w:evenHBand="0" w:firstRowFirstColumn="0" w:firstRowLastColumn="0" w:lastRowFirstColumn="0" w:lastRowLastColumn="0"/>
            <w:tcW w:w="473" w:type="pct"/>
            <w:noWrap/>
            <w:hideMark/>
          </w:tcPr>
          <w:p w:rsidR="003B5672" w:rsidRPr="00925D64" w:rsidRDefault="003B5672" w:rsidP="003B5672">
            <w:pPr>
              <w:spacing w:after="0" w:line="240" w:lineRule="auto"/>
              <w:rPr>
                <w:rFonts w:ascii="Times New Roman" w:eastAsia="Times New Roman" w:hAnsi="Times New Roman" w:cs="Times New Roman"/>
                <w:b w:val="0"/>
                <w:color w:val="000000"/>
                <w:lang w:bidi="ar-SA"/>
              </w:rPr>
            </w:pPr>
            <w:r w:rsidRPr="00925D64">
              <w:rPr>
                <w:rFonts w:ascii="Times New Roman" w:eastAsia="Times New Roman" w:hAnsi="Times New Roman" w:cs="Times New Roman"/>
                <w:b w:val="0"/>
                <w:color w:val="000000"/>
                <w:lang w:bidi="ar-SA"/>
              </w:rPr>
              <w:t>Sud-Ouest</w:t>
            </w:r>
          </w:p>
        </w:tc>
        <w:tc>
          <w:tcPr>
            <w:tcW w:w="345"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4,1</w:t>
            </w:r>
          </w:p>
        </w:tc>
        <w:tc>
          <w:tcPr>
            <w:tcW w:w="430"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1 614 170,5</w:t>
            </w:r>
          </w:p>
        </w:tc>
        <w:tc>
          <w:tcPr>
            <w:tcW w:w="56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6 764,8</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87,5   </w:t>
            </w:r>
          </w:p>
        </w:tc>
        <w:tc>
          <w:tcPr>
            <w:tcW w:w="431"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12,5   </w:t>
            </w:r>
          </w:p>
        </w:tc>
        <w:tc>
          <w:tcPr>
            <w:tcW w:w="389"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85,3   </w:t>
            </w:r>
          </w:p>
        </w:tc>
        <w:tc>
          <w:tcPr>
            <w:tcW w:w="345"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14,7   </w:t>
            </w:r>
          </w:p>
        </w:tc>
        <w:tc>
          <w:tcPr>
            <w:tcW w:w="474" w:type="pct"/>
            <w:noWrap/>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       58,0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42,0   </w:t>
            </w:r>
          </w:p>
        </w:tc>
        <w:tc>
          <w:tcPr>
            <w:tcW w:w="388" w:type="pct"/>
            <w:vAlign w:val="center"/>
          </w:tcPr>
          <w:p w:rsidR="003B5672" w:rsidRPr="003B5672"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3B5672">
              <w:rPr>
                <w:rFonts w:ascii="Times New Roman" w:eastAsia="Times New Roman" w:hAnsi="Times New Roman" w:cs="Times New Roman"/>
                <w:color w:val="000000"/>
                <w:sz w:val="20"/>
                <w:szCs w:val="20"/>
                <w:lang w:eastAsia="fr-FR" w:bidi="ar-SA"/>
              </w:rPr>
              <w:t xml:space="preserve">48,7   </w:t>
            </w:r>
          </w:p>
        </w:tc>
        <w:tc>
          <w:tcPr>
            <w:tcW w:w="344" w:type="pct"/>
            <w:vAlign w:val="center"/>
          </w:tcPr>
          <w:p w:rsidR="003B5672" w:rsidRPr="00925D64" w:rsidRDefault="003B5672" w:rsidP="00925D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5D64">
              <w:rPr>
                <w:rFonts w:ascii="Times New Roman" w:hAnsi="Times New Roman" w:cs="Times New Roman"/>
                <w:sz w:val="20"/>
                <w:szCs w:val="20"/>
              </w:rPr>
              <w:t xml:space="preserve">51,3   </w:t>
            </w:r>
          </w:p>
        </w:tc>
      </w:tr>
    </w:tbl>
    <w:p w:rsidR="0054107E" w:rsidRDefault="0054107E" w:rsidP="00A122FE">
      <w:pPr>
        <w:spacing w:line="360" w:lineRule="auto"/>
        <w:jc w:val="both"/>
        <w:rPr>
          <w:rFonts w:asciiTheme="majorBidi" w:hAnsiTheme="majorBidi" w:cstheme="majorBidi"/>
          <w:b/>
          <w:bCs/>
          <w:sz w:val="24"/>
          <w:szCs w:val="24"/>
        </w:rPr>
      </w:pPr>
    </w:p>
    <w:p w:rsidR="00EE2858" w:rsidRDefault="00EE2858" w:rsidP="00EE2858">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Tableau </w:t>
      </w:r>
      <w:r w:rsidR="005923C7">
        <w:rPr>
          <w:rFonts w:asciiTheme="majorBidi" w:hAnsiTheme="majorBidi" w:cstheme="majorBidi"/>
          <w:b/>
          <w:bCs/>
          <w:sz w:val="24"/>
          <w:szCs w:val="24"/>
        </w:rPr>
        <w:t>4</w:t>
      </w:r>
      <w:r>
        <w:rPr>
          <w:rFonts w:asciiTheme="majorBidi" w:hAnsiTheme="majorBidi" w:cstheme="majorBidi"/>
          <w:b/>
          <w:bCs/>
          <w:sz w:val="24"/>
          <w:szCs w:val="24"/>
        </w:rPr>
        <w:t xml:space="preserve"> : </w:t>
      </w:r>
      <w:r w:rsidR="00597E4A">
        <w:rPr>
          <w:rFonts w:asciiTheme="majorBidi" w:hAnsiTheme="majorBidi" w:cstheme="majorBidi"/>
          <w:b/>
          <w:bCs/>
          <w:sz w:val="24"/>
          <w:szCs w:val="24"/>
        </w:rPr>
        <w:t>S</w:t>
      </w:r>
      <w:r>
        <w:rPr>
          <w:rFonts w:asciiTheme="majorBidi" w:hAnsiTheme="majorBidi" w:cstheme="majorBidi"/>
          <w:b/>
          <w:bCs/>
          <w:sz w:val="24"/>
          <w:szCs w:val="24"/>
        </w:rPr>
        <w:t>tatistiques descriptive</w:t>
      </w:r>
      <w:r w:rsidR="0039252C">
        <w:rPr>
          <w:rFonts w:asciiTheme="majorBidi" w:hAnsiTheme="majorBidi" w:cstheme="majorBidi"/>
          <w:b/>
          <w:bCs/>
          <w:sz w:val="24"/>
          <w:szCs w:val="24"/>
        </w:rPr>
        <w:t>s sur la répartition des RI et d</w:t>
      </w:r>
      <w:r>
        <w:rPr>
          <w:rFonts w:asciiTheme="majorBidi" w:hAnsiTheme="majorBidi" w:cstheme="majorBidi"/>
          <w:b/>
          <w:bCs/>
          <w:sz w:val="24"/>
          <w:szCs w:val="24"/>
        </w:rPr>
        <w:t xml:space="preserve">es besoins de développement par </w:t>
      </w:r>
      <w:r w:rsidR="00076385">
        <w:rPr>
          <w:rFonts w:asciiTheme="majorBidi" w:hAnsiTheme="majorBidi" w:cstheme="majorBidi"/>
          <w:b/>
          <w:bCs/>
          <w:sz w:val="24"/>
          <w:szCs w:val="24"/>
        </w:rPr>
        <w:t>commune</w:t>
      </w:r>
      <w:r>
        <w:rPr>
          <w:rFonts w:asciiTheme="majorBidi" w:hAnsiTheme="majorBidi" w:cstheme="majorBidi"/>
          <w:b/>
          <w:bCs/>
          <w:sz w:val="24"/>
          <w:szCs w:val="24"/>
        </w:rPr>
        <w:t xml:space="preserve"> au Cameroun en</w:t>
      </w:r>
      <w:r w:rsidR="005923C7">
        <w:rPr>
          <w:rFonts w:asciiTheme="majorBidi" w:hAnsiTheme="majorBidi" w:cstheme="majorBidi"/>
          <w:b/>
          <w:bCs/>
          <w:sz w:val="24"/>
          <w:szCs w:val="24"/>
        </w:rPr>
        <w:t xml:space="preserve"> </w:t>
      </w:r>
      <w:r>
        <w:rPr>
          <w:rFonts w:asciiTheme="majorBidi" w:hAnsiTheme="majorBidi" w:cstheme="majorBidi"/>
          <w:b/>
          <w:bCs/>
          <w:sz w:val="24"/>
          <w:szCs w:val="24"/>
        </w:rPr>
        <w:t>2016</w:t>
      </w:r>
    </w:p>
    <w:tbl>
      <w:tblPr>
        <w:tblStyle w:val="TableauGrille1Clair"/>
        <w:tblW w:w="0" w:type="auto"/>
        <w:jc w:val="center"/>
        <w:tblLook w:val="04A0" w:firstRow="1" w:lastRow="0" w:firstColumn="1" w:lastColumn="0" w:noHBand="0" w:noVBand="1"/>
      </w:tblPr>
      <w:tblGrid>
        <w:gridCol w:w="5397"/>
        <w:gridCol w:w="1134"/>
        <w:gridCol w:w="1407"/>
        <w:gridCol w:w="1711"/>
        <w:gridCol w:w="1418"/>
        <w:gridCol w:w="1483"/>
      </w:tblGrid>
      <w:tr w:rsidR="00526993" w:rsidRPr="00526993" w:rsidTr="002F4B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7" w:type="dxa"/>
            <w:vAlign w:val="center"/>
          </w:tcPr>
          <w:p w:rsidR="00526993" w:rsidRPr="00526993" w:rsidRDefault="00526993" w:rsidP="00AB39A0">
            <w:pPr>
              <w:spacing w:after="0" w:line="240" w:lineRule="auto"/>
              <w:jc w:val="center"/>
              <w:rPr>
                <w:rFonts w:asciiTheme="majorBidi" w:hAnsiTheme="majorBidi" w:cstheme="majorBidi"/>
                <w:bCs w:val="0"/>
                <w:sz w:val="20"/>
                <w:szCs w:val="20"/>
              </w:rPr>
            </w:pPr>
            <w:r w:rsidRPr="00526993">
              <w:rPr>
                <w:rFonts w:asciiTheme="majorBidi" w:hAnsiTheme="majorBidi" w:cstheme="majorBidi"/>
                <w:bCs w:val="0"/>
                <w:sz w:val="20"/>
                <w:szCs w:val="20"/>
              </w:rPr>
              <w:t>Variable</w:t>
            </w:r>
          </w:p>
        </w:tc>
        <w:tc>
          <w:tcPr>
            <w:tcW w:w="1134" w:type="dxa"/>
            <w:vAlign w:val="center"/>
          </w:tcPr>
          <w:p w:rsidR="00526993" w:rsidRPr="00526993" w:rsidRDefault="00526993" w:rsidP="00AB39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sz w:val="20"/>
                <w:szCs w:val="20"/>
              </w:rPr>
            </w:pPr>
            <w:r>
              <w:rPr>
                <w:rFonts w:asciiTheme="majorBidi" w:hAnsiTheme="majorBidi" w:cstheme="majorBidi"/>
                <w:bCs w:val="0"/>
                <w:sz w:val="20"/>
                <w:szCs w:val="20"/>
              </w:rPr>
              <w:t>Valeur minimale</w:t>
            </w:r>
          </w:p>
        </w:tc>
        <w:tc>
          <w:tcPr>
            <w:tcW w:w="1407" w:type="dxa"/>
            <w:vAlign w:val="center"/>
          </w:tcPr>
          <w:p w:rsidR="00526993" w:rsidRPr="00526993" w:rsidRDefault="00526993" w:rsidP="00AB39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sz w:val="20"/>
                <w:szCs w:val="20"/>
              </w:rPr>
            </w:pPr>
            <w:r>
              <w:rPr>
                <w:rFonts w:asciiTheme="majorBidi" w:hAnsiTheme="majorBidi" w:cstheme="majorBidi"/>
                <w:bCs w:val="0"/>
                <w:sz w:val="20"/>
                <w:szCs w:val="20"/>
              </w:rPr>
              <w:t>Valeur maximale</w:t>
            </w:r>
          </w:p>
        </w:tc>
        <w:tc>
          <w:tcPr>
            <w:tcW w:w="1711" w:type="dxa"/>
            <w:vAlign w:val="center"/>
          </w:tcPr>
          <w:p w:rsidR="00526993" w:rsidRDefault="00526993" w:rsidP="00AB39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sz w:val="20"/>
                <w:szCs w:val="20"/>
              </w:rPr>
            </w:pPr>
            <w:r>
              <w:rPr>
                <w:rFonts w:asciiTheme="majorBidi" w:hAnsiTheme="majorBidi" w:cstheme="majorBidi"/>
                <w:bCs w:val="0"/>
                <w:sz w:val="20"/>
                <w:szCs w:val="20"/>
              </w:rPr>
              <w:t>Valeur moyenne par commune</w:t>
            </w:r>
          </w:p>
        </w:tc>
        <w:tc>
          <w:tcPr>
            <w:tcW w:w="1418" w:type="dxa"/>
            <w:vAlign w:val="center"/>
          </w:tcPr>
          <w:p w:rsidR="00526993" w:rsidRPr="00526993" w:rsidRDefault="00526993" w:rsidP="00AB39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sz w:val="20"/>
                <w:szCs w:val="20"/>
              </w:rPr>
            </w:pPr>
            <w:r>
              <w:rPr>
                <w:rFonts w:asciiTheme="majorBidi" w:hAnsiTheme="majorBidi" w:cstheme="majorBidi"/>
                <w:bCs w:val="0"/>
                <w:sz w:val="20"/>
                <w:szCs w:val="20"/>
              </w:rPr>
              <w:t>Ecart-type</w:t>
            </w:r>
          </w:p>
        </w:tc>
        <w:tc>
          <w:tcPr>
            <w:tcW w:w="1483" w:type="dxa"/>
            <w:vAlign w:val="center"/>
          </w:tcPr>
          <w:p w:rsidR="00526993" w:rsidRPr="00526993" w:rsidRDefault="00526993" w:rsidP="00AB39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sz w:val="20"/>
                <w:szCs w:val="20"/>
              </w:rPr>
            </w:pPr>
            <w:r>
              <w:rPr>
                <w:rFonts w:asciiTheme="majorBidi" w:hAnsiTheme="majorBidi" w:cstheme="majorBidi"/>
                <w:bCs w:val="0"/>
                <w:sz w:val="20"/>
                <w:szCs w:val="20"/>
              </w:rPr>
              <w:t>Coefficient de variation</w:t>
            </w:r>
          </w:p>
        </w:tc>
      </w:tr>
      <w:tr w:rsidR="00526993" w:rsidRPr="00526993" w:rsidTr="002F4BEC">
        <w:trPr>
          <w:jc w:val="center"/>
        </w:trPr>
        <w:tc>
          <w:tcPr>
            <w:cnfStyle w:val="001000000000" w:firstRow="0" w:lastRow="0" w:firstColumn="1" w:lastColumn="0" w:oddVBand="0" w:evenVBand="0" w:oddHBand="0" w:evenHBand="0" w:firstRowFirstColumn="0" w:firstRowLastColumn="0" w:lastRowFirstColumn="0" w:lastRowLastColumn="0"/>
            <w:tcW w:w="5397" w:type="dxa"/>
          </w:tcPr>
          <w:p w:rsidR="00526993" w:rsidRPr="002F4BEC" w:rsidRDefault="00526993" w:rsidP="00F3134B">
            <w:pPr>
              <w:spacing w:after="0" w:line="240" w:lineRule="auto"/>
              <w:rPr>
                <w:rFonts w:ascii="Times New Roman" w:eastAsia="Times New Roman" w:hAnsi="Times New Roman" w:cs="Times New Roman"/>
                <w:b w:val="0"/>
                <w:color w:val="000000"/>
                <w:lang w:bidi="ar-SA"/>
              </w:rPr>
            </w:pPr>
            <w:r w:rsidRPr="002F4BEC">
              <w:rPr>
                <w:rFonts w:ascii="Times New Roman" w:eastAsia="Times New Roman" w:hAnsi="Times New Roman" w:cs="Times New Roman"/>
                <w:b w:val="0"/>
                <w:color w:val="000000"/>
                <w:lang w:bidi="ar-SA"/>
              </w:rPr>
              <w:t>Ressources d’investissement allouées</w:t>
            </w:r>
            <w:r w:rsidR="00C52625" w:rsidRPr="002F4BEC">
              <w:rPr>
                <w:rFonts w:ascii="Times New Roman" w:eastAsia="Times New Roman" w:hAnsi="Times New Roman" w:cs="Times New Roman"/>
                <w:b w:val="0"/>
                <w:color w:val="000000"/>
                <w:lang w:bidi="ar-SA"/>
              </w:rPr>
              <w:t xml:space="preserve"> (en millions F CFA)</w:t>
            </w:r>
          </w:p>
        </w:tc>
        <w:tc>
          <w:tcPr>
            <w:tcW w:w="1134"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28,0</w:t>
            </w:r>
          </w:p>
        </w:tc>
        <w:tc>
          <w:tcPr>
            <w:tcW w:w="1407"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1 119,1</w:t>
            </w:r>
          </w:p>
        </w:tc>
        <w:tc>
          <w:tcPr>
            <w:tcW w:w="1711"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150,8</w:t>
            </w:r>
          </w:p>
        </w:tc>
        <w:tc>
          <w:tcPr>
            <w:tcW w:w="1418"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125,8</w:t>
            </w:r>
          </w:p>
        </w:tc>
        <w:tc>
          <w:tcPr>
            <w:tcW w:w="1483" w:type="dxa"/>
            <w:vAlign w:val="center"/>
          </w:tcPr>
          <w:p w:rsidR="00526993" w:rsidRPr="006509D4" w:rsidRDefault="00AB39A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83,4%</w:t>
            </w:r>
          </w:p>
        </w:tc>
      </w:tr>
      <w:tr w:rsidR="00526993" w:rsidRPr="00526993" w:rsidTr="002F4BEC">
        <w:trPr>
          <w:jc w:val="center"/>
        </w:trPr>
        <w:tc>
          <w:tcPr>
            <w:cnfStyle w:val="001000000000" w:firstRow="0" w:lastRow="0" w:firstColumn="1" w:lastColumn="0" w:oddVBand="0" w:evenVBand="0" w:oddHBand="0" w:evenHBand="0" w:firstRowFirstColumn="0" w:firstRowLastColumn="0" w:lastRowFirstColumn="0" w:lastRowLastColumn="0"/>
            <w:tcW w:w="5397" w:type="dxa"/>
          </w:tcPr>
          <w:p w:rsidR="00526993" w:rsidRPr="002F4BEC" w:rsidRDefault="00526993" w:rsidP="00526993">
            <w:pPr>
              <w:spacing w:after="0" w:line="240" w:lineRule="auto"/>
              <w:jc w:val="both"/>
              <w:rPr>
                <w:rFonts w:ascii="Times New Roman" w:eastAsia="Times New Roman" w:hAnsi="Times New Roman" w:cs="Times New Roman"/>
                <w:b w:val="0"/>
                <w:color w:val="000000"/>
                <w:lang w:bidi="ar-SA"/>
              </w:rPr>
            </w:pPr>
            <w:r w:rsidRPr="002F4BEC">
              <w:rPr>
                <w:rFonts w:ascii="Times New Roman" w:eastAsia="Times New Roman" w:hAnsi="Times New Roman" w:cs="Times New Roman"/>
                <w:b w:val="0"/>
                <w:color w:val="000000"/>
                <w:lang w:bidi="ar-SA"/>
              </w:rPr>
              <w:t>Effectif de la population</w:t>
            </w:r>
          </w:p>
        </w:tc>
        <w:tc>
          <w:tcPr>
            <w:tcW w:w="1134"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2 621</w:t>
            </w:r>
          </w:p>
        </w:tc>
        <w:tc>
          <w:tcPr>
            <w:tcW w:w="1407"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944 583</w:t>
            </w:r>
          </w:p>
        </w:tc>
        <w:tc>
          <w:tcPr>
            <w:tcW w:w="1711" w:type="dxa"/>
            <w:vAlign w:val="center"/>
          </w:tcPr>
          <w:p w:rsidR="00526993" w:rsidRPr="006509D4" w:rsidRDefault="00DD17FE"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eastAsia="Times New Roman" w:hAnsi="Times New Roman" w:cs="Times New Roman"/>
                <w:color w:val="000000"/>
                <w:sz w:val="20"/>
                <w:szCs w:val="20"/>
                <w:lang w:eastAsia="fr-FR" w:bidi="ar-SA"/>
              </w:rPr>
              <w:t>66 282</w:t>
            </w:r>
          </w:p>
        </w:tc>
        <w:tc>
          <w:tcPr>
            <w:tcW w:w="1418" w:type="dxa"/>
            <w:vAlign w:val="center"/>
          </w:tcPr>
          <w:p w:rsidR="00526993" w:rsidRPr="006509D4" w:rsidRDefault="00DD17FE"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eastAsia="Times New Roman" w:hAnsi="Times New Roman" w:cs="Times New Roman"/>
                <w:color w:val="000000"/>
                <w:sz w:val="20"/>
                <w:szCs w:val="20"/>
                <w:lang w:eastAsia="fr-FR" w:bidi="ar-SA"/>
              </w:rPr>
              <w:t>97 920</w:t>
            </w:r>
          </w:p>
        </w:tc>
        <w:tc>
          <w:tcPr>
            <w:tcW w:w="1483" w:type="dxa"/>
            <w:vAlign w:val="center"/>
          </w:tcPr>
          <w:p w:rsidR="00526993" w:rsidRPr="006509D4" w:rsidRDefault="00AB39A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147,7%</w:t>
            </w:r>
          </w:p>
        </w:tc>
      </w:tr>
      <w:tr w:rsidR="00526993" w:rsidRPr="00526993" w:rsidTr="002F4BEC">
        <w:trPr>
          <w:jc w:val="center"/>
        </w:trPr>
        <w:tc>
          <w:tcPr>
            <w:cnfStyle w:val="001000000000" w:firstRow="0" w:lastRow="0" w:firstColumn="1" w:lastColumn="0" w:oddVBand="0" w:evenVBand="0" w:oddHBand="0" w:evenHBand="0" w:firstRowFirstColumn="0" w:firstRowLastColumn="0" w:lastRowFirstColumn="0" w:lastRowLastColumn="0"/>
            <w:tcW w:w="5397" w:type="dxa"/>
          </w:tcPr>
          <w:p w:rsidR="00526993" w:rsidRPr="002F4BEC" w:rsidRDefault="00526993" w:rsidP="00526993">
            <w:pPr>
              <w:spacing w:after="0" w:line="240" w:lineRule="auto"/>
              <w:jc w:val="both"/>
              <w:rPr>
                <w:rFonts w:asciiTheme="majorBidi" w:hAnsiTheme="majorBidi" w:cstheme="majorBidi"/>
                <w:b w:val="0"/>
                <w:bCs w:val="0"/>
              </w:rPr>
            </w:pPr>
            <w:r w:rsidRPr="002F4BEC">
              <w:rPr>
                <w:rFonts w:ascii="Times New Roman" w:eastAsia="Times New Roman" w:hAnsi="Times New Roman" w:cs="Times New Roman"/>
                <w:b w:val="0"/>
                <w:color w:val="000000"/>
                <w:lang w:bidi="ar-SA"/>
              </w:rPr>
              <w:t>Taux de scolarisation</w:t>
            </w:r>
            <w:r w:rsidR="00F3134B">
              <w:rPr>
                <w:rFonts w:ascii="Times New Roman" w:eastAsia="Times New Roman" w:hAnsi="Times New Roman" w:cs="Times New Roman"/>
                <w:b w:val="0"/>
                <w:color w:val="000000"/>
                <w:lang w:bidi="ar-SA"/>
              </w:rPr>
              <w:t xml:space="preserve"> (en %)</w:t>
            </w:r>
          </w:p>
        </w:tc>
        <w:tc>
          <w:tcPr>
            <w:tcW w:w="1134"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51,3</w:t>
            </w:r>
          </w:p>
        </w:tc>
        <w:tc>
          <w:tcPr>
            <w:tcW w:w="1407"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94,4</w:t>
            </w:r>
          </w:p>
        </w:tc>
        <w:tc>
          <w:tcPr>
            <w:tcW w:w="1711"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82,4</w:t>
            </w:r>
          </w:p>
        </w:tc>
        <w:tc>
          <w:tcPr>
            <w:tcW w:w="1418"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13,4</w:t>
            </w:r>
          </w:p>
        </w:tc>
        <w:tc>
          <w:tcPr>
            <w:tcW w:w="1483" w:type="dxa"/>
            <w:vAlign w:val="center"/>
          </w:tcPr>
          <w:p w:rsidR="00526993" w:rsidRPr="006509D4" w:rsidRDefault="00AB39A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16,2%</w:t>
            </w:r>
          </w:p>
        </w:tc>
      </w:tr>
      <w:tr w:rsidR="00526993" w:rsidRPr="00526993" w:rsidTr="002F4BEC">
        <w:trPr>
          <w:jc w:val="center"/>
        </w:trPr>
        <w:tc>
          <w:tcPr>
            <w:cnfStyle w:val="001000000000" w:firstRow="0" w:lastRow="0" w:firstColumn="1" w:lastColumn="0" w:oddVBand="0" w:evenVBand="0" w:oddHBand="0" w:evenHBand="0" w:firstRowFirstColumn="0" w:firstRowLastColumn="0" w:lastRowFirstColumn="0" w:lastRowLastColumn="0"/>
            <w:tcW w:w="5397" w:type="dxa"/>
          </w:tcPr>
          <w:p w:rsidR="00526993" w:rsidRPr="002F4BEC" w:rsidRDefault="00526993" w:rsidP="00526993">
            <w:pPr>
              <w:spacing w:after="0" w:line="240" w:lineRule="auto"/>
              <w:jc w:val="both"/>
              <w:rPr>
                <w:rFonts w:ascii="Times New Roman" w:eastAsia="Times New Roman" w:hAnsi="Times New Roman" w:cs="Times New Roman"/>
                <w:b w:val="0"/>
                <w:color w:val="000000"/>
                <w:lang w:bidi="ar-SA"/>
              </w:rPr>
            </w:pPr>
            <w:r w:rsidRPr="002F4BEC">
              <w:rPr>
                <w:rFonts w:ascii="Times New Roman" w:eastAsia="Times New Roman" w:hAnsi="Times New Roman" w:cs="Times New Roman"/>
                <w:b w:val="0"/>
                <w:color w:val="000000"/>
                <w:lang w:bidi="ar-SA"/>
              </w:rPr>
              <w:t>Taux de couverture vaccinale</w:t>
            </w:r>
            <w:r w:rsidR="00F3134B">
              <w:rPr>
                <w:rFonts w:ascii="Times New Roman" w:eastAsia="Times New Roman" w:hAnsi="Times New Roman" w:cs="Times New Roman"/>
                <w:b w:val="0"/>
                <w:color w:val="000000"/>
                <w:lang w:bidi="ar-SA"/>
              </w:rPr>
              <w:t xml:space="preserve"> (en %)</w:t>
            </w:r>
            <w:r w:rsidRPr="002F4BEC">
              <w:rPr>
                <w:rFonts w:ascii="Times New Roman" w:eastAsia="Times New Roman" w:hAnsi="Times New Roman" w:cs="Times New Roman"/>
                <w:b w:val="0"/>
                <w:color w:val="000000"/>
                <w:lang w:bidi="ar-SA"/>
              </w:rPr>
              <w:t xml:space="preserve"> </w:t>
            </w:r>
          </w:p>
        </w:tc>
        <w:tc>
          <w:tcPr>
            <w:tcW w:w="1134"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42,3</w:t>
            </w:r>
          </w:p>
        </w:tc>
        <w:tc>
          <w:tcPr>
            <w:tcW w:w="1407"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96,9</w:t>
            </w:r>
          </w:p>
        </w:tc>
        <w:tc>
          <w:tcPr>
            <w:tcW w:w="1711"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77,3</w:t>
            </w:r>
          </w:p>
        </w:tc>
        <w:tc>
          <w:tcPr>
            <w:tcW w:w="1418"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15,6</w:t>
            </w:r>
          </w:p>
        </w:tc>
        <w:tc>
          <w:tcPr>
            <w:tcW w:w="1483" w:type="dxa"/>
            <w:vAlign w:val="center"/>
          </w:tcPr>
          <w:p w:rsidR="00526993" w:rsidRPr="006509D4" w:rsidRDefault="00AB39A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20,2%</w:t>
            </w:r>
          </w:p>
        </w:tc>
      </w:tr>
      <w:tr w:rsidR="00526993" w:rsidRPr="00526993" w:rsidTr="002F4BEC">
        <w:trPr>
          <w:jc w:val="center"/>
        </w:trPr>
        <w:tc>
          <w:tcPr>
            <w:cnfStyle w:val="001000000000" w:firstRow="0" w:lastRow="0" w:firstColumn="1" w:lastColumn="0" w:oddVBand="0" w:evenVBand="0" w:oddHBand="0" w:evenHBand="0" w:firstRowFirstColumn="0" w:firstRowLastColumn="0" w:lastRowFirstColumn="0" w:lastRowLastColumn="0"/>
            <w:tcW w:w="5397" w:type="dxa"/>
          </w:tcPr>
          <w:p w:rsidR="00526993" w:rsidRPr="002F4BEC" w:rsidRDefault="00526993" w:rsidP="00526993">
            <w:pPr>
              <w:spacing w:after="0" w:line="240" w:lineRule="auto"/>
              <w:jc w:val="both"/>
              <w:rPr>
                <w:rFonts w:asciiTheme="majorBidi" w:hAnsiTheme="majorBidi" w:cstheme="majorBidi"/>
                <w:b w:val="0"/>
                <w:bCs w:val="0"/>
              </w:rPr>
            </w:pPr>
            <w:r w:rsidRPr="002F4BEC">
              <w:rPr>
                <w:rFonts w:ascii="Times New Roman" w:eastAsia="Times New Roman" w:hAnsi="Times New Roman" w:cs="Times New Roman"/>
                <w:b w:val="0"/>
                <w:color w:val="000000"/>
                <w:lang w:bidi="ar-SA"/>
              </w:rPr>
              <w:t>Taux d’accès à l’Eau Potable</w:t>
            </w:r>
            <w:r w:rsidR="00F3134B">
              <w:rPr>
                <w:rFonts w:ascii="Times New Roman" w:eastAsia="Times New Roman" w:hAnsi="Times New Roman" w:cs="Times New Roman"/>
                <w:b w:val="0"/>
                <w:color w:val="000000"/>
                <w:lang w:bidi="ar-SA"/>
              </w:rPr>
              <w:t xml:space="preserve"> (en %)</w:t>
            </w:r>
          </w:p>
        </w:tc>
        <w:tc>
          <w:tcPr>
            <w:tcW w:w="1134"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34,1</w:t>
            </w:r>
          </w:p>
        </w:tc>
        <w:tc>
          <w:tcPr>
            <w:tcW w:w="1407"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99,2</w:t>
            </w:r>
          </w:p>
        </w:tc>
        <w:tc>
          <w:tcPr>
            <w:tcW w:w="1711"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61,0</w:t>
            </w:r>
          </w:p>
        </w:tc>
        <w:tc>
          <w:tcPr>
            <w:tcW w:w="1418"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18,4</w:t>
            </w:r>
          </w:p>
        </w:tc>
        <w:tc>
          <w:tcPr>
            <w:tcW w:w="1483" w:type="dxa"/>
            <w:vAlign w:val="center"/>
          </w:tcPr>
          <w:p w:rsidR="00526993" w:rsidRPr="006509D4" w:rsidRDefault="00AB39A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30,1%</w:t>
            </w:r>
          </w:p>
        </w:tc>
      </w:tr>
      <w:tr w:rsidR="00526993" w:rsidRPr="00526993" w:rsidTr="002F4BEC">
        <w:trPr>
          <w:jc w:val="center"/>
        </w:trPr>
        <w:tc>
          <w:tcPr>
            <w:cnfStyle w:val="001000000000" w:firstRow="0" w:lastRow="0" w:firstColumn="1" w:lastColumn="0" w:oddVBand="0" w:evenVBand="0" w:oddHBand="0" w:evenHBand="0" w:firstRowFirstColumn="0" w:firstRowLastColumn="0" w:lastRowFirstColumn="0" w:lastRowLastColumn="0"/>
            <w:tcW w:w="5397" w:type="dxa"/>
          </w:tcPr>
          <w:p w:rsidR="00526993" w:rsidRPr="002F4BEC" w:rsidRDefault="00526993" w:rsidP="00526993">
            <w:pPr>
              <w:spacing w:after="0" w:line="240" w:lineRule="auto"/>
              <w:jc w:val="both"/>
              <w:rPr>
                <w:rFonts w:ascii="Times New Roman" w:eastAsia="Times New Roman" w:hAnsi="Times New Roman" w:cs="Times New Roman"/>
                <w:b w:val="0"/>
                <w:color w:val="000000"/>
                <w:lang w:bidi="ar-SA"/>
              </w:rPr>
            </w:pPr>
            <w:r w:rsidRPr="002F4BEC">
              <w:rPr>
                <w:rFonts w:ascii="Times New Roman" w:eastAsia="Times New Roman" w:hAnsi="Times New Roman" w:cs="Times New Roman"/>
                <w:b w:val="0"/>
                <w:color w:val="000000"/>
                <w:lang w:bidi="ar-SA"/>
              </w:rPr>
              <w:t>Taux d’accès à l’électricité</w:t>
            </w:r>
            <w:r w:rsidR="00F3134B">
              <w:rPr>
                <w:rFonts w:ascii="Times New Roman" w:eastAsia="Times New Roman" w:hAnsi="Times New Roman" w:cs="Times New Roman"/>
                <w:b w:val="0"/>
                <w:color w:val="000000"/>
                <w:lang w:bidi="ar-SA"/>
              </w:rPr>
              <w:t xml:space="preserve"> (en %)</w:t>
            </w:r>
          </w:p>
        </w:tc>
        <w:tc>
          <w:tcPr>
            <w:tcW w:w="1134"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3,3</w:t>
            </w:r>
          </w:p>
        </w:tc>
        <w:tc>
          <w:tcPr>
            <w:tcW w:w="1407" w:type="dxa"/>
            <w:vAlign w:val="center"/>
          </w:tcPr>
          <w:p w:rsidR="00526993" w:rsidRPr="006509D4" w:rsidRDefault="006509D4"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hAnsi="Times New Roman" w:cs="Times New Roman"/>
                <w:bCs/>
                <w:sz w:val="20"/>
                <w:szCs w:val="20"/>
              </w:rPr>
              <w:t>99,0</w:t>
            </w:r>
          </w:p>
        </w:tc>
        <w:tc>
          <w:tcPr>
            <w:tcW w:w="1711"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42,</w:t>
            </w:r>
            <w:r w:rsidR="00C52625" w:rsidRPr="006509D4">
              <w:rPr>
                <w:rFonts w:ascii="Times New Roman" w:eastAsia="Times New Roman" w:hAnsi="Times New Roman" w:cs="Times New Roman"/>
                <w:color w:val="000000"/>
                <w:sz w:val="20"/>
                <w:szCs w:val="20"/>
                <w:lang w:eastAsia="fr-FR" w:bidi="ar-SA"/>
              </w:rPr>
              <w:t>3</w:t>
            </w:r>
          </w:p>
        </w:tc>
        <w:tc>
          <w:tcPr>
            <w:tcW w:w="1418" w:type="dxa"/>
            <w:vAlign w:val="center"/>
          </w:tcPr>
          <w:p w:rsidR="00526993" w:rsidRPr="006509D4" w:rsidRDefault="00400FB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3</w:t>
            </w:r>
            <w:r w:rsidR="00C52625" w:rsidRPr="006509D4">
              <w:rPr>
                <w:rFonts w:ascii="Times New Roman" w:eastAsia="Times New Roman" w:hAnsi="Times New Roman" w:cs="Times New Roman"/>
                <w:color w:val="000000"/>
                <w:sz w:val="20"/>
                <w:szCs w:val="20"/>
                <w:lang w:eastAsia="fr-FR" w:bidi="ar-SA"/>
              </w:rPr>
              <w:t>0</w:t>
            </w:r>
            <w:r w:rsidRPr="006509D4">
              <w:rPr>
                <w:rFonts w:ascii="Times New Roman" w:eastAsia="Times New Roman" w:hAnsi="Times New Roman" w:cs="Times New Roman"/>
                <w:color w:val="000000"/>
                <w:sz w:val="20"/>
                <w:szCs w:val="20"/>
                <w:lang w:eastAsia="fr-FR" w:bidi="ar-SA"/>
              </w:rPr>
              <w:t>,3</w:t>
            </w:r>
          </w:p>
        </w:tc>
        <w:tc>
          <w:tcPr>
            <w:tcW w:w="1483" w:type="dxa"/>
            <w:vAlign w:val="center"/>
          </w:tcPr>
          <w:p w:rsidR="00526993" w:rsidRPr="006509D4" w:rsidRDefault="00AB39A0" w:rsidP="00684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09D4">
              <w:rPr>
                <w:rFonts w:ascii="Times New Roman" w:eastAsia="Times New Roman" w:hAnsi="Times New Roman" w:cs="Times New Roman"/>
                <w:color w:val="000000"/>
                <w:sz w:val="20"/>
                <w:szCs w:val="20"/>
                <w:lang w:eastAsia="fr-FR" w:bidi="ar-SA"/>
              </w:rPr>
              <w:t>73,0%</w:t>
            </w:r>
          </w:p>
        </w:tc>
      </w:tr>
    </w:tbl>
    <w:p w:rsidR="00A44DF5" w:rsidRDefault="00A44DF5" w:rsidP="00A122FE">
      <w:pPr>
        <w:spacing w:line="360" w:lineRule="auto"/>
        <w:jc w:val="both"/>
        <w:rPr>
          <w:rFonts w:asciiTheme="majorBidi" w:hAnsiTheme="majorBidi" w:cstheme="majorBidi"/>
          <w:b/>
          <w:bCs/>
          <w:sz w:val="24"/>
          <w:szCs w:val="24"/>
        </w:rPr>
      </w:pPr>
    </w:p>
    <w:p w:rsidR="006A730E" w:rsidRPr="006A730E" w:rsidRDefault="006A730E" w:rsidP="006A730E">
      <w:pPr>
        <w:spacing w:line="360" w:lineRule="auto"/>
        <w:jc w:val="both"/>
        <w:rPr>
          <w:rFonts w:asciiTheme="majorBidi" w:hAnsiTheme="majorBidi" w:cstheme="majorBidi"/>
          <w:b/>
          <w:bCs/>
          <w:sz w:val="24"/>
          <w:szCs w:val="24"/>
        </w:rPr>
        <w:sectPr w:rsidR="006A730E" w:rsidRPr="006A730E" w:rsidSect="007703ED">
          <w:pgSz w:w="16838" w:h="11906" w:orient="landscape"/>
          <w:pgMar w:top="426" w:right="1440" w:bottom="993" w:left="1440" w:header="709" w:footer="709" w:gutter="0"/>
          <w:cols w:space="708"/>
          <w:titlePg/>
          <w:docGrid w:linePitch="360"/>
        </w:sectPr>
      </w:pPr>
    </w:p>
    <w:p w:rsidR="00CE4625" w:rsidRPr="00CE4625" w:rsidRDefault="00CE4625" w:rsidP="00CE4625">
      <w:pPr>
        <w:spacing w:line="360" w:lineRule="auto"/>
        <w:jc w:val="both"/>
        <w:rPr>
          <w:rFonts w:asciiTheme="majorBidi" w:hAnsiTheme="majorBidi" w:cstheme="majorBidi"/>
          <w:bCs/>
          <w:sz w:val="24"/>
          <w:szCs w:val="24"/>
        </w:rPr>
      </w:pPr>
      <w:r>
        <w:rPr>
          <w:rFonts w:asciiTheme="majorBidi" w:hAnsiTheme="majorBidi" w:cstheme="majorBidi"/>
          <w:bCs/>
          <w:sz w:val="24"/>
          <w:szCs w:val="24"/>
        </w:rPr>
        <w:lastRenderedPageBreak/>
        <w:t xml:space="preserve">L’on note de fortes disparités dans les besoins de développement entre les zones urbaines et les localités rurales pauvres et enclavées. Ainsi, les communes de </w:t>
      </w:r>
      <w:proofErr w:type="spellStart"/>
      <w:r>
        <w:rPr>
          <w:rFonts w:asciiTheme="majorBidi" w:hAnsiTheme="majorBidi" w:cstheme="majorBidi"/>
          <w:bCs/>
          <w:sz w:val="24"/>
          <w:szCs w:val="24"/>
        </w:rPr>
        <w:t>Fotokol</w:t>
      </w:r>
      <w:proofErr w:type="spellEnd"/>
      <w:r>
        <w:rPr>
          <w:rFonts w:asciiTheme="majorBidi" w:hAnsiTheme="majorBidi" w:cstheme="majorBidi"/>
          <w:bCs/>
          <w:sz w:val="24"/>
          <w:szCs w:val="24"/>
        </w:rPr>
        <w:t xml:space="preserve"> dans la région de l’Extr</w:t>
      </w:r>
      <w:r w:rsidR="00986B1E">
        <w:rPr>
          <w:rFonts w:asciiTheme="majorBidi" w:hAnsiTheme="majorBidi" w:cstheme="majorBidi"/>
          <w:bCs/>
          <w:sz w:val="24"/>
          <w:szCs w:val="24"/>
        </w:rPr>
        <w:t>ême-Nord</w:t>
      </w:r>
      <w:r>
        <w:rPr>
          <w:rFonts w:asciiTheme="majorBidi" w:hAnsiTheme="majorBidi" w:cstheme="majorBidi"/>
          <w:bCs/>
          <w:sz w:val="24"/>
          <w:szCs w:val="24"/>
        </w:rPr>
        <w:t xml:space="preserve"> et </w:t>
      </w:r>
      <w:proofErr w:type="spellStart"/>
      <w:r>
        <w:rPr>
          <w:rFonts w:asciiTheme="majorBidi" w:hAnsiTheme="majorBidi" w:cstheme="majorBidi"/>
          <w:bCs/>
          <w:sz w:val="24"/>
          <w:szCs w:val="24"/>
        </w:rPr>
        <w:t>Dembo</w:t>
      </w:r>
      <w:proofErr w:type="spellEnd"/>
      <w:r>
        <w:rPr>
          <w:rFonts w:asciiTheme="majorBidi" w:hAnsiTheme="majorBidi" w:cstheme="majorBidi"/>
          <w:bCs/>
          <w:sz w:val="24"/>
          <w:szCs w:val="24"/>
        </w:rPr>
        <w:t xml:space="preserve"> dans la région du Nord, présentent des taux d’accès à l’électricité inférieurs à 4%</w:t>
      </w:r>
      <w:r w:rsidR="00CC1F57">
        <w:rPr>
          <w:rFonts w:asciiTheme="majorBidi" w:hAnsiTheme="majorBidi" w:cstheme="majorBidi"/>
          <w:bCs/>
          <w:sz w:val="24"/>
          <w:szCs w:val="24"/>
        </w:rPr>
        <w:t>, le niveau d’accès moyen par commune étant de 42,3%</w:t>
      </w:r>
      <w:r>
        <w:rPr>
          <w:rFonts w:asciiTheme="majorBidi" w:hAnsiTheme="majorBidi" w:cstheme="majorBidi"/>
          <w:bCs/>
          <w:sz w:val="24"/>
          <w:szCs w:val="24"/>
        </w:rPr>
        <w:t>.</w:t>
      </w:r>
      <w:r w:rsidR="00CC1F57">
        <w:rPr>
          <w:rFonts w:asciiTheme="majorBidi" w:hAnsiTheme="majorBidi" w:cstheme="majorBidi"/>
          <w:bCs/>
          <w:sz w:val="24"/>
          <w:szCs w:val="24"/>
        </w:rPr>
        <w:t xml:space="preserve"> </w:t>
      </w:r>
      <w:r>
        <w:rPr>
          <w:rFonts w:asciiTheme="majorBidi" w:hAnsiTheme="majorBidi" w:cstheme="majorBidi"/>
          <w:bCs/>
          <w:sz w:val="24"/>
          <w:szCs w:val="24"/>
        </w:rPr>
        <w:t xml:space="preserve">    </w:t>
      </w:r>
    </w:p>
    <w:p w:rsidR="00C54772" w:rsidRPr="00184D97" w:rsidRDefault="00232003" w:rsidP="00184D97">
      <w:pPr>
        <w:pStyle w:val="Paragraphedeliste"/>
        <w:numPr>
          <w:ilvl w:val="1"/>
          <w:numId w:val="6"/>
        </w:numPr>
        <w:spacing w:line="360" w:lineRule="auto"/>
        <w:jc w:val="both"/>
        <w:rPr>
          <w:rFonts w:asciiTheme="majorBidi" w:hAnsiTheme="majorBidi" w:cstheme="majorBidi"/>
          <w:b/>
          <w:bCs/>
          <w:sz w:val="24"/>
          <w:szCs w:val="24"/>
        </w:rPr>
      </w:pPr>
      <w:r w:rsidRPr="00184D97">
        <w:rPr>
          <w:rFonts w:asciiTheme="majorBidi" w:hAnsiTheme="majorBidi" w:cstheme="majorBidi"/>
          <w:b/>
          <w:bCs/>
          <w:sz w:val="24"/>
          <w:szCs w:val="24"/>
        </w:rPr>
        <w:t>Modèle explicatif et calcul de l’I</w:t>
      </w:r>
      <w:r w:rsidR="00735B4A" w:rsidRPr="00184D97">
        <w:rPr>
          <w:rFonts w:asciiTheme="majorBidi" w:hAnsiTheme="majorBidi" w:cstheme="majorBidi"/>
          <w:b/>
          <w:bCs/>
          <w:sz w:val="24"/>
          <w:szCs w:val="24"/>
        </w:rPr>
        <w:t xml:space="preserve">ndice de </w:t>
      </w:r>
      <w:r w:rsidRPr="00184D97">
        <w:rPr>
          <w:rFonts w:asciiTheme="majorBidi" w:hAnsiTheme="majorBidi" w:cstheme="majorBidi"/>
          <w:b/>
          <w:bCs/>
          <w:sz w:val="24"/>
          <w:szCs w:val="24"/>
        </w:rPr>
        <w:t>R</w:t>
      </w:r>
      <w:r w:rsidR="00735B4A" w:rsidRPr="00184D97">
        <w:rPr>
          <w:rFonts w:asciiTheme="majorBidi" w:hAnsiTheme="majorBidi" w:cstheme="majorBidi"/>
          <w:b/>
          <w:bCs/>
          <w:sz w:val="24"/>
          <w:szCs w:val="24"/>
        </w:rPr>
        <w:t xml:space="preserve">épartition </w:t>
      </w:r>
      <w:r w:rsidRPr="00184D97">
        <w:rPr>
          <w:rFonts w:asciiTheme="majorBidi" w:hAnsiTheme="majorBidi" w:cstheme="majorBidi"/>
          <w:b/>
          <w:bCs/>
          <w:sz w:val="24"/>
          <w:szCs w:val="24"/>
        </w:rPr>
        <w:t>E</w:t>
      </w:r>
      <w:r w:rsidR="00735B4A" w:rsidRPr="00184D97">
        <w:rPr>
          <w:rFonts w:asciiTheme="majorBidi" w:hAnsiTheme="majorBidi" w:cstheme="majorBidi"/>
          <w:b/>
          <w:bCs/>
          <w:sz w:val="24"/>
          <w:szCs w:val="24"/>
        </w:rPr>
        <w:t>quitable</w:t>
      </w:r>
    </w:p>
    <w:p w:rsidR="00540442" w:rsidRDefault="00540442" w:rsidP="00184D97">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Les résultats de la régression des RI par les besoins de développement sont présentés dans le tableau ci-dessous. L’on note que la variance expliquée s’élève à presque 40%, ce qui indique que 60% de la répartition des RI entre les communes en 2017 ne prend pas en compte les critères de répartition liés aux besoins de développement. </w:t>
      </w:r>
    </w:p>
    <w:p w:rsidR="00DC185E" w:rsidRDefault="00DC185E" w:rsidP="00184D97">
      <w:pPr>
        <w:spacing w:line="360" w:lineRule="auto"/>
        <w:jc w:val="both"/>
        <w:rPr>
          <w:rFonts w:asciiTheme="majorBidi" w:hAnsiTheme="majorBidi" w:cstheme="majorBidi"/>
          <w:bCs/>
          <w:sz w:val="24"/>
          <w:szCs w:val="24"/>
        </w:rPr>
      </w:pPr>
      <w:r>
        <w:rPr>
          <w:rFonts w:asciiTheme="majorBidi" w:hAnsiTheme="majorBidi" w:cstheme="majorBidi"/>
          <w:bCs/>
          <w:sz w:val="24"/>
          <w:szCs w:val="24"/>
        </w:rPr>
        <w:t>En outre, la valeur de l’IRE est beaucoup plus faible, à 18,07%. En effet, les coefficients de régression pour les besoins de scolarisation et les besoins en électricité sont négatifs. Par conséquent, la variance expliquée par ces variables traduit plutôt une répartition</w:t>
      </w:r>
      <w:r w:rsidR="000F28B8">
        <w:rPr>
          <w:rFonts w:asciiTheme="majorBidi" w:hAnsiTheme="majorBidi" w:cstheme="majorBidi"/>
          <w:bCs/>
          <w:sz w:val="24"/>
          <w:szCs w:val="24"/>
        </w:rPr>
        <w:t xml:space="preserve"> des ressources inversement proportionnelle aux besoins de développement</w:t>
      </w:r>
      <w:r w:rsidR="00945635">
        <w:rPr>
          <w:rFonts w:asciiTheme="majorBidi" w:hAnsiTheme="majorBidi" w:cstheme="majorBidi"/>
          <w:bCs/>
          <w:sz w:val="24"/>
          <w:szCs w:val="24"/>
        </w:rPr>
        <w:t xml:space="preserve"> entre les communes</w:t>
      </w:r>
      <w:r>
        <w:rPr>
          <w:rFonts w:asciiTheme="majorBidi" w:hAnsiTheme="majorBidi" w:cstheme="majorBidi"/>
          <w:bCs/>
          <w:sz w:val="24"/>
          <w:szCs w:val="24"/>
        </w:rPr>
        <w:t xml:space="preserve">. L’IRE prend cela en compte, d’où une valeur plus faible de la qualité de la répartition budgétaire. </w:t>
      </w:r>
    </w:p>
    <w:p w:rsidR="00BA6780" w:rsidRPr="00BA6780" w:rsidRDefault="00BA6780" w:rsidP="005677D9">
      <w:pPr>
        <w:spacing w:line="240" w:lineRule="auto"/>
        <w:jc w:val="center"/>
        <w:rPr>
          <w:rFonts w:asciiTheme="majorBidi" w:hAnsiTheme="majorBidi" w:cstheme="majorBidi"/>
          <w:bCs/>
          <w:sz w:val="24"/>
          <w:szCs w:val="24"/>
        </w:rPr>
      </w:pPr>
      <w:r>
        <w:rPr>
          <w:rFonts w:asciiTheme="majorBidi" w:hAnsiTheme="majorBidi" w:cstheme="majorBidi"/>
          <w:b/>
          <w:bCs/>
          <w:sz w:val="24"/>
          <w:szCs w:val="24"/>
        </w:rPr>
        <w:t xml:space="preserve">Tableau 4 : </w:t>
      </w:r>
      <w:r w:rsidR="00FE40C1">
        <w:rPr>
          <w:rFonts w:asciiTheme="majorBidi" w:hAnsiTheme="majorBidi" w:cstheme="majorBidi"/>
          <w:b/>
          <w:bCs/>
          <w:sz w:val="24"/>
          <w:szCs w:val="24"/>
        </w:rPr>
        <w:t>Résultats d</w:t>
      </w:r>
      <w:r w:rsidR="00A00A78">
        <w:rPr>
          <w:rFonts w:asciiTheme="majorBidi" w:hAnsiTheme="majorBidi" w:cstheme="majorBidi"/>
          <w:b/>
          <w:bCs/>
          <w:sz w:val="24"/>
          <w:szCs w:val="24"/>
        </w:rPr>
        <w:t>e la régression des R</w:t>
      </w:r>
      <w:r w:rsidR="00FE40C1">
        <w:rPr>
          <w:rFonts w:asciiTheme="majorBidi" w:hAnsiTheme="majorBidi" w:cstheme="majorBidi"/>
          <w:b/>
          <w:bCs/>
          <w:sz w:val="24"/>
          <w:szCs w:val="24"/>
        </w:rPr>
        <w:t>I par le</w:t>
      </w:r>
      <w:r w:rsidR="00317487">
        <w:rPr>
          <w:rFonts w:asciiTheme="majorBidi" w:hAnsiTheme="majorBidi" w:cstheme="majorBidi"/>
          <w:b/>
          <w:bCs/>
          <w:sz w:val="24"/>
          <w:szCs w:val="24"/>
        </w:rPr>
        <w:t xml:space="preserve">s critères de répartition (besoins de développement des communes) </w:t>
      </w:r>
      <w:r w:rsidR="0047134A">
        <w:rPr>
          <w:rFonts w:asciiTheme="majorBidi" w:hAnsiTheme="majorBidi" w:cstheme="majorBidi"/>
          <w:b/>
          <w:bCs/>
          <w:sz w:val="24"/>
          <w:szCs w:val="24"/>
        </w:rPr>
        <w:t>pour l’exercice</w:t>
      </w:r>
      <w:r w:rsidR="0046527F">
        <w:rPr>
          <w:rFonts w:asciiTheme="majorBidi" w:hAnsiTheme="majorBidi" w:cstheme="majorBidi"/>
          <w:b/>
          <w:bCs/>
          <w:sz w:val="24"/>
          <w:szCs w:val="24"/>
        </w:rPr>
        <w:t xml:space="preserve"> budgétaire</w:t>
      </w:r>
      <w:r w:rsidR="0047134A">
        <w:rPr>
          <w:rFonts w:asciiTheme="majorBidi" w:hAnsiTheme="majorBidi" w:cstheme="majorBidi"/>
          <w:b/>
          <w:bCs/>
          <w:sz w:val="24"/>
          <w:szCs w:val="24"/>
        </w:rPr>
        <w:t xml:space="preserve"> </w:t>
      </w:r>
      <w:r w:rsidR="003C15A1">
        <w:rPr>
          <w:rFonts w:asciiTheme="majorBidi" w:hAnsiTheme="majorBidi" w:cstheme="majorBidi"/>
          <w:b/>
          <w:bCs/>
          <w:sz w:val="24"/>
          <w:szCs w:val="24"/>
        </w:rPr>
        <w:t>2017</w:t>
      </w:r>
    </w:p>
    <w:tbl>
      <w:tblPr>
        <w:tblStyle w:val="TableauGrille1Clair"/>
        <w:tblW w:w="9929" w:type="dxa"/>
        <w:tblInd w:w="-431" w:type="dxa"/>
        <w:tblLayout w:type="fixed"/>
        <w:tblLook w:val="04A0" w:firstRow="1" w:lastRow="0" w:firstColumn="1" w:lastColumn="0" w:noHBand="0" w:noVBand="1"/>
      </w:tblPr>
      <w:tblGrid>
        <w:gridCol w:w="3687"/>
        <w:gridCol w:w="2126"/>
        <w:gridCol w:w="2126"/>
        <w:gridCol w:w="1990"/>
      </w:tblGrid>
      <w:tr w:rsidR="00BA17F9" w:rsidRPr="00780F45" w:rsidTr="000A7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9" w:type="dxa"/>
            <w:gridSpan w:val="4"/>
          </w:tcPr>
          <w:p w:rsidR="00BA17F9" w:rsidRPr="00780F45" w:rsidRDefault="00BA17F9" w:rsidP="003714D8">
            <w:pPr>
              <w:spacing w:after="0" w:line="240" w:lineRule="auto"/>
              <w:jc w:val="both"/>
              <w:rPr>
                <w:rFonts w:asciiTheme="majorBidi" w:hAnsiTheme="majorBidi" w:cstheme="majorBidi"/>
                <w:b w:val="0"/>
                <w:bCs w:val="0"/>
                <w:sz w:val="24"/>
                <w:szCs w:val="24"/>
              </w:rPr>
            </w:pPr>
            <w:r w:rsidRPr="00780F45">
              <w:rPr>
                <w:rFonts w:asciiTheme="majorBidi" w:hAnsiTheme="majorBidi" w:cstheme="majorBidi"/>
                <w:b w:val="0"/>
                <w:bCs w:val="0"/>
                <w:sz w:val="24"/>
                <w:szCs w:val="24"/>
              </w:rPr>
              <w:t xml:space="preserve">Variable dépendante : </w:t>
            </w:r>
            <w:r w:rsidR="003714D8" w:rsidRPr="00780F45">
              <w:rPr>
                <w:rFonts w:asciiTheme="majorBidi" w:hAnsiTheme="majorBidi" w:cstheme="majorBidi"/>
                <w:b w:val="0"/>
                <w:bCs w:val="0"/>
                <w:sz w:val="24"/>
                <w:szCs w:val="24"/>
              </w:rPr>
              <w:t>Ressources d’Investissement</w:t>
            </w:r>
            <w:r w:rsidR="000A2476" w:rsidRPr="00780F45">
              <w:rPr>
                <w:rFonts w:asciiTheme="majorBidi" w:hAnsiTheme="majorBidi" w:cstheme="majorBidi"/>
                <w:b w:val="0"/>
                <w:bCs w:val="0"/>
                <w:sz w:val="24"/>
                <w:szCs w:val="24"/>
              </w:rPr>
              <w:t xml:space="preserve"> (RI)</w:t>
            </w:r>
            <w:r w:rsidR="003714D8" w:rsidRPr="00780F45">
              <w:rPr>
                <w:rFonts w:asciiTheme="majorBidi" w:hAnsiTheme="majorBidi" w:cstheme="majorBidi"/>
                <w:b w:val="0"/>
                <w:bCs w:val="0"/>
                <w:sz w:val="24"/>
                <w:szCs w:val="24"/>
              </w:rPr>
              <w:t xml:space="preserve"> </w:t>
            </w:r>
            <w:r w:rsidRPr="00780F45">
              <w:rPr>
                <w:rFonts w:asciiTheme="majorBidi" w:hAnsiTheme="majorBidi" w:cstheme="majorBidi"/>
                <w:b w:val="0"/>
                <w:bCs w:val="0"/>
                <w:sz w:val="24"/>
                <w:szCs w:val="24"/>
              </w:rPr>
              <w:t>du BIP gérées au niveau des communes</w:t>
            </w:r>
          </w:p>
        </w:tc>
      </w:tr>
      <w:tr w:rsidR="00780F45" w:rsidRPr="00780F45" w:rsidTr="00E067E8">
        <w:tc>
          <w:tcPr>
            <w:cnfStyle w:val="001000000000" w:firstRow="0" w:lastRow="0" w:firstColumn="1" w:lastColumn="0" w:oddVBand="0" w:evenVBand="0" w:oddHBand="0" w:evenHBand="0" w:firstRowFirstColumn="0" w:firstRowLastColumn="0" w:lastRowFirstColumn="0" w:lastRowLastColumn="0"/>
            <w:tcW w:w="5813" w:type="dxa"/>
            <w:gridSpan w:val="2"/>
          </w:tcPr>
          <w:p w:rsidR="00E067E8" w:rsidRDefault="00780F45" w:rsidP="0047134A">
            <w:pPr>
              <w:spacing w:after="0" w:line="240" w:lineRule="auto"/>
              <w:jc w:val="center"/>
              <w:rPr>
                <w:rFonts w:asciiTheme="majorBidi" w:hAnsiTheme="majorBidi" w:cstheme="majorBidi"/>
                <w:b w:val="0"/>
                <w:bCs w:val="0"/>
                <w:sz w:val="24"/>
                <w:szCs w:val="24"/>
              </w:rPr>
            </w:pPr>
            <w:r w:rsidRPr="00780F45">
              <w:rPr>
                <w:rFonts w:asciiTheme="majorBidi" w:hAnsiTheme="majorBidi" w:cstheme="majorBidi"/>
                <w:b w:val="0"/>
                <w:bCs w:val="0"/>
                <w:sz w:val="24"/>
                <w:szCs w:val="24"/>
              </w:rPr>
              <w:t xml:space="preserve">Terme constant de la régression fixé à 0 </w:t>
            </w:r>
          </w:p>
          <w:p w:rsidR="00780F45" w:rsidRPr="00780F45" w:rsidRDefault="00780F45" w:rsidP="0047134A">
            <w:pPr>
              <w:spacing w:after="0" w:line="240" w:lineRule="auto"/>
              <w:jc w:val="center"/>
              <w:rPr>
                <w:rFonts w:asciiTheme="majorBidi" w:hAnsiTheme="majorBidi" w:cstheme="majorBidi"/>
                <w:sz w:val="24"/>
                <w:szCs w:val="24"/>
              </w:rPr>
            </w:pPr>
            <w:r w:rsidRPr="00780F45">
              <w:rPr>
                <w:rFonts w:asciiTheme="majorBidi" w:hAnsiTheme="majorBidi" w:cstheme="majorBidi"/>
                <w:b w:val="0"/>
                <w:bCs w:val="0"/>
                <w:sz w:val="24"/>
                <w:szCs w:val="24"/>
              </w:rPr>
              <w:t>(Variable RI centrée sur son minimum : 28 millions)</w:t>
            </w:r>
          </w:p>
        </w:tc>
        <w:tc>
          <w:tcPr>
            <w:tcW w:w="4116" w:type="dxa"/>
            <w:gridSpan w:val="2"/>
          </w:tcPr>
          <w:p w:rsidR="00E067E8" w:rsidRDefault="00E067E8" w:rsidP="004713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780F45">
              <w:rPr>
                <w:rFonts w:asciiTheme="majorBidi" w:hAnsiTheme="majorBidi" w:cstheme="majorBidi"/>
                <w:sz w:val="24"/>
                <w:szCs w:val="24"/>
              </w:rPr>
              <w:t>Nombre d’observations</w:t>
            </w:r>
            <w:r>
              <w:rPr>
                <w:rFonts w:asciiTheme="majorBidi" w:hAnsiTheme="majorBidi" w:cstheme="majorBidi"/>
                <w:b/>
                <w:bCs/>
                <w:sz w:val="24"/>
                <w:szCs w:val="24"/>
              </w:rPr>
              <w:t> </w:t>
            </w:r>
            <w:r w:rsidRPr="00E067E8">
              <w:rPr>
                <w:rFonts w:asciiTheme="majorBidi" w:hAnsiTheme="majorBidi" w:cstheme="majorBidi"/>
                <w:bCs/>
                <w:sz w:val="24"/>
                <w:szCs w:val="24"/>
              </w:rPr>
              <w:t xml:space="preserve">: </w:t>
            </w:r>
          </w:p>
          <w:p w:rsidR="00780F45" w:rsidRPr="00780F45" w:rsidRDefault="00E067E8" w:rsidP="004713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E067E8">
              <w:rPr>
                <w:rFonts w:asciiTheme="majorBidi" w:hAnsiTheme="majorBidi" w:cstheme="majorBidi"/>
                <w:bCs/>
                <w:sz w:val="24"/>
                <w:szCs w:val="24"/>
              </w:rPr>
              <w:t>360 communes</w:t>
            </w:r>
          </w:p>
        </w:tc>
      </w:tr>
      <w:tr w:rsidR="000A748A" w:rsidRPr="00780F45" w:rsidTr="00E067E8">
        <w:tc>
          <w:tcPr>
            <w:cnfStyle w:val="001000000000" w:firstRow="0" w:lastRow="0" w:firstColumn="1" w:lastColumn="0" w:oddVBand="0" w:evenVBand="0" w:oddHBand="0" w:evenHBand="0" w:firstRowFirstColumn="0" w:firstRowLastColumn="0" w:lastRowFirstColumn="0" w:lastRowLastColumn="0"/>
            <w:tcW w:w="3687" w:type="dxa"/>
            <w:vAlign w:val="center"/>
          </w:tcPr>
          <w:p w:rsidR="000A748A" w:rsidRPr="00780F45" w:rsidRDefault="00780F45" w:rsidP="00780F45">
            <w:pPr>
              <w:spacing w:after="0" w:line="240" w:lineRule="auto"/>
              <w:rPr>
                <w:rFonts w:asciiTheme="majorBidi" w:hAnsiTheme="majorBidi" w:cstheme="majorBidi"/>
                <w:bCs w:val="0"/>
                <w:sz w:val="24"/>
                <w:szCs w:val="24"/>
              </w:rPr>
            </w:pPr>
            <w:r w:rsidRPr="00780F45">
              <w:rPr>
                <w:rFonts w:asciiTheme="majorBidi" w:hAnsiTheme="majorBidi" w:cstheme="majorBidi"/>
                <w:bCs w:val="0"/>
                <w:sz w:val="24"/>
                <w:szCs w:val="24"/>
              </w:rPr>
              <w:t>Critères de répartition</w:t>
            </w:r>
          </w:p>
        </w:tc>
        <w:tc>
          <w:tcPr>
            <w:tcW w:w="2126" w:type="dxa"/>
            <w:vAlign w:val="center"/>
          </w:tcPr>
          <w:p w:rsidR="000A748A" w:rsidRPr="00780F45" w:rsidRDefault="000A748A" w:rsidP="004713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80F45">
              <w:rPr>
                <w:rFonts w:asciiTheme="majorBidi" w:hAnsiTheme="majorBidi" w:cstheme="majorBidi"/>
                <w:b/>
                <w:bCs/>
                <w:sz w:val="24"/>
                <w:szCs w:val="24"/>
              </w:rPr>
              <w:t>Coefficient de régression</w:t>
            </w:r>
          </w:p>
        </w:tc>
        <w:tc>
          <w:tcPr>
            <w:tcW w:w="2126" w:type="dxa"/>
            <w:vAlign w:val="center"/>
          </w:tcPr>
          <w:p w:rsidR="000A748A" w:rsidRPr="00780F45" w:rsidRDefault="000A748A" w:rsidP="004713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F45">
              <w:rPr>
                <w:rFonts w:asciiTheme="majorBidi" w:hAnsiTheme="majorBidi" w:cstheme="majorBidi"/>
                <w:b/>
                <w:bCs/>
                <w:sz w:val="24"/>
                <w:szCs w:val="24"/>
              </w:rPr>
              <w:t>Variance expliquée</w:t>
            </w:r>
          </w:p>
        </w:tc>
        <w:tc>
          <w:tcPr>
            <w:tcW w:w="1990" w:type="dxa"/>
            <w:shd w:val="clear" w:color="auto" w:fill="E7E6E6" w:themeFill="background2"/>
            <w:vAlign w:val="center"/>
          </w:tcPr>
          <w:p w:rsidR="000A748A" w:rsidRPr="00780F45" w:rsidRDefault="00780F45" w:rsidP="004713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F45">
              <w:rPr>
                <w:rFonts w:asciiTheme="majorBidi" w:hAnsiTheme="majorBidi" w:cstheme="majorBidi"/>
                <w:b/>
                <w:bCs/>
                <w:sz w:val="24"/>
                <w:szCs w:val="24"/>
              </w:rPr>
              <w:t>Construction de l’indice</w:t>
            </w:r>
          </w:p>
        </w:tc>
      </w:tr>
      <w:tr w:rsidR="00076229" w:rsidRPr="00780F45" w:rsidTr="002B0B26">
        <w:trPr>
          <w:trHeight w:val="60"/>
        </w:trPr>
        <w:tc>
          <w:tcPr>
            <w:cnfStyle w:val="001000000000" w:firstRow="0" w:lastRow="0" w:firstColumn="1" w:lastColumn="0" w:oddVBand="0" w:evenVBand="0" w:oddHBand="0" w:evenHBand="0" w:firstRowFirstColumn="0" w:firstRowLastColumn="0" w:lastRowFirstColumn="0" w:lastRowLastColumn="0"/>
            <w:tcW w:w="3687" w:type="dxa"/>
            <w:vAlign w:val="center"/>
          </w:tcPr>
          <w:p w:rsidR="00076229" w:rsidRPr="00780F45" w:rsidRDefault="00076229" w:rsidP="00753213">
            <w:pPr>
              <w:spacing w:after="0" w:line="240" w:lineRule="auto"/>
              <w:rPr>
                <w:rFonts w:asciiTheme="majorBidi" w:hAnsiTheme="majorBidi" w:cstheme="majorBidi"/>
                <w:bCs w:val="0"/>
                <w:sz w:val="24"/>
                <w:szCs w:val="24"/>
              </w:rPr>
            </w:pPr>
            <w:r w:rsidRPr="00780F45">
              <w:rPr>
                <w:rFonts w:asciiTheme="majorBidi" w:hAnsiTheme="majorBidi" w:cstheme="majorBidi"/>
                <w:b w:val="0"/>
                <w:bCs w:val="0"/>
                <w:sz w:val="24"/>
                <w:szCs w:val="24"/>
              </w:rPr>
              <w:t>Poids démographique</w:t>
            </w:r>
          </w:p>
        </w:tc>
        <w:tc>
          <w:tcPr>
            <w:tcW w:w="2126" w:type="dxa"/>
          </w:tcPr>
          <w:p w:rsidR="00076229" w:rsidRPr="00753213" w:rsidRDefault="00076229" w:rsidP="00753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213">
              <w:rPr>
                <w:rFonts w:ascii="Times New Roman" w:hAnsi="Times New Roman" w:cs="Times New Roman"/>
                <w:sz w:val="24"/>
                <w:szCs w:val="24"/>
              </w:rPr>
              <w:t>0,099693788</w:t>
            </w:r>
          </w:p>
        </w:tc>
        <w:tc>
          <w:tcPr>
            <w:tcW w:w="2126" w:type="dxa"/>
            <w:vAlign w:val="center"/>
          </w:tcPr>
          <w:p w:rsidR="00076229" w:rsidRPr="00925D64" w:rsidRDefault="00076229" w:rsidP="00753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5D64">
              <w:rPr>
                <w:rFonts w:ascii="Times New Roman" w:hAnsi="Times New Roman" w:cs="Times New Roman"/>
                <w:sz w:val="24"/>
                <w:szCs w:val="24"/>
              </w:rPr>
              <w:t>21,74%</w:t>
            </w:r>
          </w:p>
        </w:tc>
        <w:tc>
          <w:tcPr>
            <w:tcW w:w="1990" w:type="dxa"/>
            <w:shd w:val="clear" w:color="auto" w:fill="E7E6E6" w:themeFill="background2"/>
            <w:vAlign w:val="center"/>
          </w:tcPr>
          <w:p w:rsidR="00076229" w:rsidRPr="00925D64" w:rsidRDefault="00076229" w:rsidP="00753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5D64">
              <w:rPr>
                <w:rFonts w:ascii="Times New Roman" w:hAnsi="Times New Roman" w:cs="Times New Roman"/>
                <w:sz w:val="24"/>
                <w:szCs w:val="24"/>
              </w:rPr>
              <w:t>21,74%</w:t>
            </w:r>
          </w:p>
        </w:tc>
      </w:tr>
      <w:tr w:rsidR="00076229" w:rsidRPr="00780F45" w:rsidTr="002B0B26">
        <w:tc>
          <w:tcPr>
            <w:cnfStyle w:val="001000000000" w:firstRow="0" w:lastRow="0" w:firstColumn="1" w:lastColumn="0" w:oddVBand="0" w:evenVBand="0" w:oddHBand="0" w:evenHBand="0" w:firstRowFirstColumn="0" w:firstRowLastColumn="0" w:lastRowFirstColumn="0" w:lastRowLastColumn="0"/>
            <w:tcW w:w="3687" w:type="dxa"/>
            <w:vAlign w:val="center"/>
          </w:tcPr>
          <w:p w:rsidR="00076229" w:rsidRPr="00780F45" w:rsidRDefault="00076229" w:rsidP="00753213">
            <w:pPr>
              <w:spacing w:after="0" w:line="240" w:lineRule="auto"/>
              <w:rPr>
                <w:rFonts w:asciiTheme="majorBidi" w:hAnsiTheme="majorBidi" w:cstheme="majorBidi"/>
                <w:bCs w:val="0"/>
                <w:sz w:val="24"/>
                <w:szCs w:val="24"/>
              </w:rPr>
            </w:pPr>
            <w:r w:rsidRPr="00780F45">
              <w:rPr>
                <w:rFonts w:asciiTheme="majorBidi" w:hAnsiTheme="majorBidi" w:cstheme="majorBidi"/>
                <w:b w:val="0"/>
                <w:bCs w:val="0"/>
                <w:sz w:val="24"/>
                <w:szCs w:val="24"/>
              </w:rPr>
              <w:t>Besoins de scolarisation</w:t>
            </w:r>
          </w:p>
        </w:tc>
        <w:tc>
          <w:tcPr>
            <w:tcW w:w="2126" w:type="dxa"/>
          </w:tcPr>
          <w:p w:rsidR="00076229" w:rsidRPr="00753213" w:rsidRDefault="00076229" w:rsidP="00753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213">
              <w:rPr>
                <w:rFonts w:ascii="Times New Roman" w:hAnsi="Times New Roman" w:cs="Times New Roman"/>
                <w:sz w:val="24"/>
                <w:szCs w:val="24"/>
              </w:rPr>
              <w:t>-0,269523795</w:t>
            </w:r>
          </w:p>
        </w:tc>
        <w:tc>
          <w:tcPr>
            <w:tcW w:w="2126" w:type="dxa"/>
            <w:vAlign w:val="center"/>
          </w:tcPr>
          <w:p w:rsidR="00076229" w:rsidRPr="00925D64" w:rsidRDefault="00076229" w:rsidP="00753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5D64">
              <w:rPr>
                <w:rFonts w:ascii="Times New Roman" w:hAnsi="Times New Roman" w:cs="Times New Roman"/>
                <w:sz w:val="24"/>
                <w:szCs w:val="24"/>
              </w:rPr>
              <w:t>9,09%</w:t>
            </w:r>
          </w:p>
        </w:tc>
        <w:tc>
          <w:tcPr>
            <w:tcW w:w="1990" w:type="dxa"/>
            <w:shd w:val="clear" w:color="auto" w:fill="E7E6E6" w:themeFill="background2"/>
            <w:vAlign w:val="center"/>
          </w:tcPr>
          <w:p w:rsidR="00076229" w:rsidRPr="00925D64" w:rsidRDefault="00076229" w:rsidP="00753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5D64">
              <w:rPr>
                <w:rFonts w:ascii="Times New Roman" w:hAnsi="Times New Roman" w:cs="Times New Roman"/>
                <w:sz w:val="24"/>
                <w:szCs w:val="24"/>
              </w:rPr>
              <w:t>-9,09%</w:t>
            </w:r>
          </w:p>
        </w:tc>
      </w:tr>
      <w:tr w:rsidR="00076229" w:rsidRPr="00780F45" w:rsidTr="002B0B26">
        <w:tc>
          <w:tcPr>
            <w:cnfStyle w:val="001000000000" w:firstRow="0" w:lastRow="0" w:firstColumn="1" w:lastColumn="0" w:oddVBand="0" w:evenVBand="0" w:oddHBand="0" w:evenHBand="0" w:firstRowFirstColumn="0" w:firstRowLastColumn="0" w:lastRowFirstColumn="0" w:lastRowLastColumn="0"/>
            <w:tcW w:w="3687" w:type="dxa"/>
            <w:vAlign w:val="center"/>
          </w:tcPr>
          <w:p w:rsidR="00076229" w:rsidRPr="00780F45" w:rsidRDefault="00076229" w:rsidP="00753213">
            <w:pPr>
              <w:spacing w:after="0" w:line="240" w:lineRule="auto"/>
              <w:rPr>
                <w:rFonts w:asciiTheme="majorBidi" w:hAnsiTheme="majorBidi" w:cstheme="majorBidi"/>
                <w:bCs w:val="0"/>
                <w:sz w:val="24"/>
                <w:szCs w:val="24"/>
              </w:rPr>
            </w:pPr>
            <w:r w:rsidRPr="00780F45">
              <w:rPr>
                <w:rFonts w:asciiTheme="majorBidi" w:hAnsiTheme="majorBidi" w:cstheme="majorBidi"/>
                <w:b w:val="0"/>
                <w:bCs w:val="0"/>
                <w:sz w:val="24"/>
                <w:szCs w:val="24"/>
              </w:rPr>
              <w:t>Besoins de santé</w:t>
            </w:r>
          </w:p>
        </w:tc>
        <w:tc>
          <w:tcPr>
            <w:tcW w:w="2126" w:type="dxa"/>
          </w:tcPr>
          <w:p w:rsidR="00076229" w:rsidRPr="00753213" w:rsidRDefault="00076229" w:rsidP="00753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213">
              <w:rPr>
                <w:rFonts w:ascii="Times New Roman" w:hAnsi="Times New Roman" w:cs="Times New Roman"/>
                <w:sz w:val="24"/>
                <w:szCs w:val="24"/>
              </w:rPr>
              <w:t>2,394875835</w:t>
            </w:r>
          </w:p>
        </w:tc>
        <w:tc>
          <w:tcPr>
            <w:tcW w:w="2126" w:type="dxa"/>
            <w:vAlign w:val="center"/>
          </w:tcPr>
          <w:p w:rsidR="00076229" w:rsidRPr="00925D64" w:rsidRDefault="00076229" w:rsidP="00753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5D64">
              <w:rPr>
                <w:rFonts w:ascii="Times New Roman" w:hAnsi="Times New Roman" w:cs="Times New Roman"/>
                <w:sz w:val="24"/>
                <w:szCs w:val="24"/>
              </w:rPr>
              <w:t>3,35%</w:t>
            </w:r>
          </w:p>
        </w:tc>
        <w:tc>
          <w:tcPr>
            <w:tcW w:w="1990" w:type="dxa"/>
            <w:shd w:val="clear" w:color="auto" w:fill="E7E6E6" w:themeFill="background2"/>
            <w:vAlign w:val="center"/>
          </w:tcPr>
          <w:p w:rsidR="00076229" w:rsidRPr="00925D64" w:rsidRDefault="00076229" w:rsidP="00753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5D64">
              <w:rPr>
                <w:rFonts w:ascii="Times New Roman" w:hAnsi="Times New Roman" w:cs="Times New Roman"/>
                <w:sz w:val="24"/>
                <w:szCs w:val="24"/>
              </w:rPr>
              <w:t>3,35%</w:t>
            </w:r>
          </w:p>
        </w:tc>
      </w:tr>
      <w:tr w:rsidR="00076229" w:rsidRPr="00780F45" w:rsidTr="002B0B26">
        <w:tc>
          <w:tcPr>
            <w:cnfStyle w:val="001000000000" w:firstRow="0" w:lastRow="0" w:firstColumn="1" w:lastColumn="0" w:oddVBand="0" w:evenVBand="0" w:oddHBand="0" w:evenHBand="0" w:firstRowFirstColumn="0" w:firstRowLastColumn="0" w:lastRowFirstColumn="0" w:lastRowLastColumn="0"/>
            <w:tcW w:w="3687" w:type="dxa"/>
            <w:vAlign w:val="center"/>
          </w:tcPr>
          <w:p w:rsidR="00076229" w:rsidRPr="00780F45" w:rsidRDefault="00076229" w:rsidP="00753213">
            <w:pPr>
              <w:spacing w:after="0" w:line="240" w:lineRule="auto"/>
              <w:rPr>
                <w:rFonts w:asciiTheme="majorBidi" w:hAnsiTheme="majorBidi" w:cstheme="majorBidi"/>
                <w:bCs w:val="0"/>
                <w:sz w:val="24"/>
                <w:szCs w:val="24"/>
              </w:rPr>
            </w:pPr>
            <w:r w:rsidRPr="00780F45">
              <w:rPr>
                <w:rFonts w:asciiTheme="majorBidi" w:hAnsiTheme="majorBidi" w:cstheme="majorBidi"/>
                <w:b w:val="0"/>
                <w:bCs w:val="0"/>
                <w:sz w:val="24"/>
                <w:szCs w:val="24"/>
              </w:rPr>
              <w:t>Besoins en eau potable</w:t>
            </w:r>
          </w:p>
        </w:tc>
        <w:tc>
          <w:tcPr>
            <w:tcW w:w="2126" w:type="dxa"/>
          </w:tcPr>
          <w:p w:rsidR="00076229" w:rsidRPr="00753213" w:rsidRDefault="00076229" w:rsidP="00753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213">
              <w:rPr>
                <w:rFonts w:ascii="Times New Roman" w:hAnsi="Times New Roman" w:cs="Times New Roman"/>
                <w:sz w:val="24"/>
                <w:szCs w:val="24"/>
              </w:rPr>
              <w:t>3,992488175</w:t>
            </w:r>
          </w:p>
        </w:tc>
        <w:tc>
          <w:tcPr>
            <w:tcW w:w="2126" w:type="dxa"/>
            <w:vAlign w:val="center"/>
          </w:tcPr>
          <w:p w:rsidR="00076229" w:rsidRPr="00925D64" w:rsidRDefault="00076229" w:rsidP="00753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5D64">
              <w:rPr>
                <w:rFonts w:ascii="Times New Roman" w:hAnsi="Times New Roman" w:cs="Times New Roman"/>
                <w:sz w:val="24"/>
                <w:szCs w:val="24"/>
              </w:rPr>
              <w:t>3,73%</w:t>
            </w:r>
          </w:p>
        </w:tc>
        <w:tc>
          <w:tcPr>
            <w:tcW w:w="1990" w:type="dxa"/>
            <w:shd w:val="clear" w:color="auto" w:fill="E7E6E6" w:themeFill="background2"/>
            <w:vAlign w:val="center"/>
          </w:tcPr>
          <w:p w:rsidR="00076229" w:rsidRPr="00925D64" w:rsidRDefault="00076229" w:rsidP="00753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5D64">
              <w:rPr>
                <w:rFonts w:ascii="Times New Roman" w:hAnsi="Times New Roman" w:cs="Times New Roman"/>
                <w:sz w:val="24"/>
                <w:szCs w:val="24"/>
              </w:rPr>
              <w:t>3,73%</w:t>
            </w:r>
          </w:p>
        </w:tc>
      </w:tr>
      <w:tr w:rsidR="00076229" w:rsidRPr="00780F45" w:rsidTr="002B0B26">
        <w:tc>
          <w:tcPr>
            <w:cnfStyle w:val="001000000000" w:firstRow="0" w:lastRow="0" w:firstColumn="1" w:lastColumn="0" w:oddVBand="0" w:evenVBand="0" w:oddHBand="0" w:evenHBand="0" w:firstRowFirstColumn="0" w:firstRowLastColumn="0" w:lastRowFirstColumn="0" w:lastRowLastColumn="0"/>
            <w:tcW w:w="3687" w:type="dxa"/>
            <w:vAlign w:val="center"/>
          </w:tcPr>
          <w:p w:rsidR="00076229" w:rsidRPr="00780F45" w:rsidRDefault="00076229" w:rsidP="00753213">
            <w:pPr>
              <w:spacing w:after="0" w:line="240" w:lineRule="auto"/>
              <w:rPr>
                <w:rFonts w:asciiTheme="majorBidi" w:hAnsiTheme="majorBidi" w:cstheme="majorBidi"/>
                <w:bCs w:val="0"/>
                <w:sz w:val="24"/>
                <w:szCs w:val="24"/>
              </w:rPr>
            </w:pPr>
            <w:r w:rsidRPr="00780F45">
              <w:rPr>
                <w:rFonts w:asciiTheme="majorBidi" w:hAnsiTheme="majorBidi" w:cstheme="majorBidi"/>
                <w:b w:val="0"/>
                <w:bCs w:val="0"/>
                <w:sz w:val="24"/>
                <w:szCs w:val="24"/>
              </w:rPr>
              <w:t>Besoins en électricité</w:t>
            </w:r>
          </w:p>
        </w:tc>
        <w:tc>
          <w:tcPr>
            <w:tcW w:w="2126" w:type="dxa"/>
          </w:tcPr>
          <w:p w:rsidR="00076229" w:rsidRPr="00753213" w:rsidRDefault="00076229" w:rsidP="00753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213">
              <w:rPr>
                <w:rFonts w:ascii="Times New Roman" w:hAnsi="Times New Roman" w:cs="Times New Roman"/>
                <w:sz w:val="24"/>
                <w:szCs w:val="24"/>
              </w:rPr>
              <w:t>-2,274066988</w:t>
            </w:r>
          </w:p>
        </w:tc>
        <w:tc>
          <w:tcPr>
            <w:tcW w:w="2126" w:type="dxa"/>
            <w:vAlign w:val="center"/>
          </w:tcPr>
          <w:p w:rsidR="00076229" w:rsidRPr="00925D64" w:rsidRDefault="00076229" w:rsidP="00753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color w:val="000000"/>
                <w:sz w:val="24"/>
                <w:szCs w:val="24"/>
                <w:lang w:eastAsia="fr-FR" w:bidi="ar-SA"/>
              </w:rPr>
              <w:t>1</w:t>
            </w:r>
            <w:r w:rsidRPr="00925D64">
              <w:rPr>
                <w:rFonts w:ascii="Times New Roman" w:eastAsia="Times New Roman" w:hAnsi="Times New Roman" w:cs="Times New Roman"/>
                <w:color w:val="000000"/>
                <w:sz w:val="24"/>
                <w:szCs w:val="24"/>
                <w:lang w:eastAsia="fr-FR" w:bidi="ar-SA"/>
              </w:rPr>
              <w:t>,</w:t>
            </w:r>
            <w:r>
              <w:rPr>
                <w:rFonts w:ascii="Times New Roman" w:eastAsia="Times New Roman" w:hAnsi="Times New Roman" w:cs="Times New Roman"/>
                <w:color w:val="000000"/>
                <w:sz w:val="24"/>
                <w:szCs w:val="24"/>
                <w:lang w:eastAsia="fr-FR" w:bidi="ar-SA"/>
              </w:rPr>
              <w:t>66</w:t>
            </w:r>
            <w:r w:rsidRPr="00925D64">
              <w:rPr>
                <w:rFonts w:ascii="Times New Roman" w:eastAsia="Times New Roman" w:hAnsi="Times New Roman" w:cs="Times New Roman"/>
                <w:color w:val="000000"/>
                <w:sz w:val="24"/>
                <w:szCs w:val="24"/>
                <w:lang w:eastAsia="fr-FR" w:bidi="ar-SA"/>
              </w:rPr>
              <w:t>%</w:t>
            </w:r>
          </w:p>
        </w:tc>
        <w:tc>
          <w:tcPr>
            <w:tcW w:w="1990" w:type="dxa"/>
            <w:shd w:val="clear" w:color="auto" w:fill="E7E6E6" w:themeFill="background2"/>
            <w:vAlign w:val="center"/>
          </w:tcPr>
          <w:p w:rsidR="00076229" w:rsidRPr="00925D64" w:rsidRDefault="00076229" w:rsidP="00AF1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5D64">
              <w:rPr>
                <w:rFonts w:ascii="Times New Roman" w:eastAsia="Times New Roman" w:hAnsi="Times New Roman" w:cs="Times New Roman"/>
                <w:color w:val="000000"/>
                <w:sz w:val="24"/>
                <w:szCs w:val="24"/>
                <w:lang w:eastAsia="fr-FR" w:bidi="ar-SA"/>
              </w:rPr>
              <w:t>-</w:t>
            </w:r>
            <w:r w:rsidR="00AF18E5">
              <w:rPr>
                <w:rFonts w:ascii="Times New Roman" w:eastAsia="Times New Roman" w:hAnsi="Times New Roman" w:cs="Times New Roman"/>
                <w:color w:val="000000"/>
                <w:sz w:val="24"/>
                <w:szCs w:val="24"/>
                <w:lang w:eastAsia="fr-FR" w:bidi="ar-SA"/>
              </w:rPr>
              <w:t>1</w:t>
            </w:r>
            <w:r w:rsidRPr="00925D64">
              <w:rPr>
                <w:rFonts w:ascii="Times New Roman" w:eastAsia="Times New Roman" w:hAnsi="Times New Roman" w:cs="Times New Roman"/>
                <w:color w:val="000000"/>
                <w:sz w:val="24"/>
                <w:szCs w:val="24"/>
                <w:lang w:eastAsia="fr-FR" w:bidi="ar-SA"/>
              </w:rPr>
              <w:t>,</w:t>
            </w:r>
            <w:r w:rsidR="00AF18E5">
              <w:rPr>
                <w:rFonts w:ascii="Times New Roman" w:eastAsia="Times New Roman" w:hAnsi="Times New Roman" w:cs="Times New Roman"/>
                <w:color w:val="000000"/>
                <w:sz w:val="24"/>
                <w:szCs w:val="24"/>
                <w:lang w:eastAsia="fr-FR" w:bidi="ar-SA"/>
              </w:rPr>
              <w:t>66</w:t>
            </w:r>
            <w:r w:rsidRPr="00925D64">
              <w:rPr>
                <w:rFonts w:ascii="Times New Roman" w:eastAsia="Times New Roman" w:hAnsi="Times New Roman" w:cs="Times New Roman"/>
                <w:color w:val="000000"/>
                <w:sz w:val="24"/>
                <w:szCs w:val="24"/>
                <w:lang w:eastAsia="fr-FR" w:bidi="ar-SA"/>
              </w:rPr>
              <w:t>%</w:t>
            </w:r>
          </w:p>
        </w:tc>
      </w:tr>
      <w:tr w:rsidR="00780F45" w:rsidRPr="00780F45" w:rsidTr="001F37B5">
        <w:tc>
          <w:tcPr>
            <w:cnfStyle w:val="001000000000" w:firstRow="0" w:lastRow="0" w:firstColumn="1" w:lastColumn="0" w:oddVBand="0" w:evenVBand="0" w:oddHBand="0" w:evenHBand="0" w:firstRowFirstColumn="0" w:firstRowLastColumn="0" w:lastRowFirstColumn="0" w:lastRowLastColumn="0"/>
            <w:tcW w:w="5813" w:type="dxa"/>
            <w:gridSpan w:val="2"/>
            <w:vAlign w:val="center"/>
          </w:tcPr>
          <w:p w:rsidR="00780F45" w:rsidRPr="003C7EC6" w:rsidRDefault="00286189" w:rsidP="00780F45">
            <w:pPr>
              <w:spacing w:after="0" w:line="240" w:lineRule="auto"/>
              <w:rPr>
                <w:rFonts w:ascii="Times New Roman" w:hAnsi="Times New Roman" w:cs="Times New Roman"/>
                <w:bCs w:val="0"/>
                <w:sz w:val="24"/>
                <w:szCs w:val="24"/>
              </w:rPr>
            </w:pPr>
            <w:r>
              <w:rPr>
                <w:rFonts w:ascii="Times New Roman" w:hAnsi="Times New Roman" w:cs="Times New Roman"/>
                <w:bCs w:val="0"/>
                <w:sz w:val="24"/>
                <w:szCs w:val="24"/>
              </w:rPr>
              <w:t>Total</w:t>
            </w:r>
          </w:p>
        </w:tc>
        <w:tc>
          <w:tcPr>
            <w:tcW w:w="2126" w:type="dxa"/>
            <w:shd w:val="clear" w:color="auto" w:fill="auto"/>
            <w:vAlign w:val="center"/>
          </w:tcPr>
          <w:p w:rsidR="00780F45" w:rsidRPr="006C38A6" w:rsidRDefault="00925D64" w:rsidP="000762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25D64">
              <w:rPr>
                <w:rFonts w:ascii="Times New Roman" w:eastAsia="Times New Roman" w:hAnsi="Times New Roman" w:cs="Times New Roman"/>
                <w:color w:val="000000"/>
                <w:sz w:val="24"/>
                <w:szCs w:val="24"/>
                <w:lang w:eastAsia="fr-FR" w:bidi="ar-SA"/>
              </w:rPr>
              <w:t>39,</w:t>
            </w:r>
            <w:r w:rsidR="00076229">
              <w:rPr>
                <w:rFonts w:ascii="Times New Roman" w:eastAsia="Times New Roman" w:hAnsi="Times New Roman" w:cs="Times New Roman"/>
                <w:color w:val="000000"/>
                <w:sz w:val="24"/>
                <w:szCs w:val="24"/>
                <w:lang w:eastAsia="fr-FR" w:bidi="ar-SA"/>
              </w:rPr>
              <w:t>57</w:t>
            </w:r>
            <w:r w:rsidRPr="00925D64">
              <w:rPr>
                <w:rFonts w:ascii="Times New Roman" w:eastAsia="Times New Roman" w:hAnsi="Times New Roman" w:cs="Times New Roman"/>
                <w:color w:val="000000"/>
                <w:sz w:val="24"/>
                <w:szCs w:val="24"/>
                <w:lang w:eastAsia="fr-FR" w:bidi="ar-SA"/>
              </w:rPr>
              <w:t>%</w:t>
            </w:r>
            <w:r w:rsidR="006C38A6">
              <w:rPr>
                <w:rFonts w:ascii="Times New Roman" w:eastAsia="Times New Roman" w:hAnsi="Times New Roman" w:cs="Times New Roman"/>
                <w:color w:val="000000"/>
                <w:sz w:val="24"/>
                <w:szCs w:val="24"/>
                <w:lang w:eastAsia="fr-FR" w:bidi="ar-SA"/>
              </w:rPr>
              <w:t xml:space="preserve"> (</w:t>
            </w:r>
            <w:r w:rsidR="006C38A6" w:rsidRPr="006C38A6">
              <w:rPr>
                <w:rFonts w:ascii="Times New Roman" w:hAnsi="Times New Roman" w:cs="Times New Roman"/>
                <w:sz w:val="24"/>
                <w:szCs w:val="24"/>
              </w:rPr>
              <w:t>R</w:t>
            </w:r>
            <w:r w:rsidR="006C38A6" w:rsidRPr="006C38A6">
              <w:rPr>
                <w:rFonts w:ascii="Times New Roman" w:hAnsi="Times New Roman" w:cs="Times New Roman"/>
                <w:sz w:val="24"/>
                <w:szCs w:val="24"/>
                <w:vertAlign w:val="superscript"/>
              </w:rPr>
              <w:t>2</w:t>
            </w:r>
            <w:r w:rsidR="006C38A6">
              <w:rPr>
                <w:rFonts w:ascii="Times New Roman" w:hAnsi="Times New Roman" w:cs="Times New Roman"/>
                <w:sz w:val="24"/>
                <w:szCs w:val="24"/>
              </w:rPr>
              <w:t>)</w:t>
            </w:r>
          </w:p>
        </w:tc>
        <w:tc>
          <w:tcPr>
            <w:tcW w:w="1990" w:type="dxa"/>
            <w:shd w:val="clear" w:color="auto" w:fill="E7E6E6" w:themeFill="background2"/>
            <w:vAlign w:val="center"/>
          </w:tcPr>
          <w:p w:rsidR="00780F45" w:rsidRPr="00925D64" w:rsidRDefault="00925D64" w:rsidP="000762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25D64">
              <w:rPr>
                <w:rFonts w:ascii="Times New Roman" w:hAnsi="Times New Roman" w:cs="Times New Roman"/>
                <w:b/>
                <w:sz w:val="24"/>
                <w:szCs w:val="24"/>
              </w:rPr>
              <w:t>1</w:t>
            </w:r>
            <w:r w:rsidR="00076229">
              <w:rPr>
                <w:rFonts w:ascii="Times New Roman" w:hAnsi="Times New Roman" w:cs="Times New Roman"/>
                <w:b/>
                <w:sz w:val="24"/>
                <w:szCs w:val="24"/>
              </w:rPr>
              <w:t>8</w:t>
            </w:r>
            <w:r w:rsidRPr="00925D64">
              <w:rPr>
                <w:rFonts w:ascii="Times New Roman" w:hAnsi="Times New Roman" w:cs="Times New Roman"/>
                <w:b/>
                <w:sz w:val="24"/>
                <w:szCs w:val="24"/>
              </w:rPr>
              <w:t>,</w:t>
            </w:r>
            <w:r w:rsidR="00076229">
              <w:rPr>
                <w:rFonts w:ascii="Times New Roman" w:hAnsi="Times New Roman" w:cs="Times New Roman"/>
                <w:b/>
                <w:sz w:val="24"/>
                <w:szCs w:val="24"/>
              </w:rPr>
              <w:t>0</w:t>
            </w:r>
            <w:r w:rsidRPr="00925D64">
              <w:rPr>
                <w:rFonts w:ascii="Times New Roman" w:hAnsi="Times New Roman" w:cs="Times New Roman"/>
                <w:b/>
                <w:sz w:val="24"/>
                <w:szCs w:val="24"/>
              </w:rPr>
              <w:t>7%</w:t>
            </w:r>
            <w:r w:rsidR="006C38A6">
              <w:rPr>
                <w:rFonts w:ascii="Times New Roman" w:hAnsi="Times New Roman" w:cs="Times New Roman"/>
                <w:b/>
                <w:sz w:val="24"/>
                <w:szCs w:val="24"/>
              </w:rPr>
              <w:t xml:space="preserve"> (</w:t>
            </w:r>
            <w:r w:rsidR="006C38A6" w:rsidRPr="00780F45">
              <w:rPr>
                <w:rFonts w:ascii="Times New Roman" w:hAnsi="Times New Roman" w:cs="Times New Roman"/>
                <w:b/>
                <w:sz w:val="24"/>
                <w:szCs w:val="24"/>
              </w:rPr>
              <w:t>IRE</w:t>
            </w:r>
            <w:r w:rsidR="006C38A6">
              <w:rPr>
                <w:rFonts w:ascii="Times New Roman" w:hAnsi="Times New Roman" w:cs="Times New Roman"/>
                <w:b/>
                <w:sz w:val="24"/>
                <w:szCs w:val="24"/>
              </w:rPr>
              <w:t>)</w:t>
            </w:r>
          </w:p>
        </w:tc>
      </w:tr>
    </w:tbl>
    <w:p w:rsidR="00925D64" w:rsidRDefault="00085773" w:rsidP="00D5449E">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 </w:t>
      </w:r>
    </w:p>
    <w:p w:rsidR="005D30DB" w:rsidRPr="00184D97" w:rsidRDefault="005D30DB" w:rsidP="005D30DB">
      <w:pPr>
        <w:pStyle w:val="Paragraphedeliste"/>
        <w:numPr>
          <w:ilvl w:val="1"/>
          <w:numId w:val="6"/>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Analyse des résidus</w:t>
      </w:r>
    </w:p>
    <w:p w:rsidR="005D4745" w:rsidRDefault="004D3A27" w:rsidP="00D5449E">
      <w:pPr>
        <w:spacing w:line="360" w:lineRule="auto"/>
        <w:jc w:val="both"/>
        <w:rPr>
          <w:rFonts w:asciiTheme="majorBidi" w:hAnsiTheme="majorBidi" w:cstheme="majorBidi"/>
          <w:bCs/>
          <w:sz w:val="24"/>
          <w:szCs w:val="24"/>
        </w:rPr>
      </w:pPr>
      <w:r>
        <w:rPr>
          <w:rFonts w:asciiTheme="majorBidi" w:hAnsiTheme="majorBidi" w:cstheme="majorBidi"/>
          <w:bCs/>
          <w:sz w:val="24"/>
          <w:szCs w:val="24"/>
        </w:rPr>
        <w:t>Les résidus positifs représentent le</w:t>
      </w:r>
      <w:r w:rsidR="005D4745">
        <w:rPr>
          <w:rFonts w:asciiTheme="majorBidi" w:hAnsiTheme="majorBidi" w:cstheme="majorBidi"/>
          <w:bCs/>
          <w:sz w:val="24"/>
          <w:szCs w:val="24"/>
        </w:rPr>
        <w:t>s surplus de dotations budgétaires</w:t>
      </w:r>
      <w:r w:rsidR="00ED7857">
        <w:rPr>
          <w:rFonts w:asciiTheme="majorBidi" w:hAnsiTheme="majorBidi" w:cstheme="majorBidi"/>
          <w:bCs/>
          <w:sz w:val="24"/>
          <w:szCs w:val="24"/>
        </w:rPr>
        <w:t xml:space="preserve"> alloué</w:t>
      </w:r>
      <w:r w:rsidR="005D4745">
        <w:rPr>
          <w:rFonts w:asciiTheme="majorBidi" w:hAnsiTheme="majorBidi" w:cstheme="majorBidi"/>
          <w:bCs/>
          <w:sz w:val="24"/>
          <w:szCs w:val="24"/>
        </w:rPr>
        <w:t>s</w:t>
      </w:r>
      <w:r w:rsidR="00ED7857">
        <w:rPr>
          <w:rFonts w:asciiTheme="majorBidi" w:hAnsiTheme="majorBidi" w:cstheme="majorBidi"/>
          <w:bCs/>
          <w:sz w:val="24"/>
          <w:szCs w:val="24"/>
        </w:rPr>
        <w:t xml:space="preserve"> aux communes</w:t>
      </w:r>
      <w:r>
        <w:rPr>
          <w:rFonts w:asciiTheme="majorBidi" w:hAnsiTheme="majorBidi" w:cstheme="majorBidi"/>
          <w:bCs/>
          <w:sz w:val="24"/>
          <w:szCs w:val="24"/>
        </w:rPr>
        <w:t xml:space="preserve"> par rapport au montant prédit par le modèle. </w:t>
      </w:r>
      <w:r w:rsidR="00ED7857">
        <w:rPr>
          <w:rFonts w:asciiTheme="majorBidi" w:hAnsiTheme="majorBidi" w:cstheme="majorBidi"/>
          <w:bCs/>
          <w:sz w:val="24"/>
          <w:szCs w:val="24"/>
        </w:rPr>
        <w:t>Les résidus négatifs représentent les</w:t>
      </w:r>
      <w:r w:rsidR="005D4745">
        <w:rPr>
          <w:rFonts w:asciiTheme="majorBidi" w:hAnsiTheme="majorBidi" w:cstheme="majorBidi"/>
          <w:bCs/>
          <w:sz w:val="24"/>
          <w:szCs w:val="24"/>
        </w:rPr>
        <w:t xml:space="preserve"> déficits de dotations budgétaires pour les communes dont les ressources d’investissement sont inférieures au montant prédit par le modèle. </w:t>
      </w:r>
    </w:p>
    <w:p w:rsidR="005D30DB" w:rsidRDefault="006543A9" w:rsidP="00D5449E">
      <w:pPr>
        <w:spacing w:line="360" w:lineRule="auto"/>
        <w:jc w:val="both"/>
        <w:rPr>
          <w:rFonts w:asciiTheme="majorBidi" w:hAnsiTheme="majorBidi" w:cstheme="majorBidi"/>
          <w:bCs/>
          <w:sz w:val="24"/>
          <w:szCs w:val="24"/>
        </w:rPr>
      </w:pPr>
      <w:r>
        <w:rPr>
          <w:rFonts w:asciiTheme="majorBidi" w:hAnsiTheme="majorBidi" w:cstheme="majorBidi"/>
          <w:bCs/>
          <w:sz w:val="24"/>
          <w:szCs w:val="24"/>
        </w:rPr>
        <w:lastRenderedPageBreak/>
        <w:t>Les 30 communes dont les valeurs résiduelles en dotations budgétaires sont les</w:t>
      </w:r>
      <w:r w:rsidR="00694AD2">
        <w:rPr>
          <w:rFonts w:asciiTheme="majorBidi" w:hAnsiTheme="majorBidi" w:cstheme="majorBidi"/>
          <w:bCs/>
          <w:sz w:val="24"/>
          <w:szCs w:val="24"/>
        </w:rPr>
        <w:t xml:space="preserve"> plus</w:t>
      </w:r>
      <w:r>
        <w:rPr>
          <w:rFonts w:asciiTheme="majorBidi" w:hAnsiTheme="majorBidi" w:cstheme="majorBidi"/>
          <w:bCs/>
          <w:sz w:val="24"/>
          <w:szCs w:val="24"/>
        </w:rPr>
        <w:t xml:space="preserve"> faibles sont présentées dans le tableau ci-après. Nombre de ces collectivités sont des communes rurales pauvres, situées dans les différentes régions du pays. Ainsi, la commune de MBOMA dans le département du HAUT-NYONG, région de l’EST, apparait en tête de liste. L’analyse montre que cette commune a </w:t>
      </w:r>
      <w:r w:rsidR="00FF42E5">
        <w:rPr>
          <w:rFonts w:asciiTheme="majorBidi" w:hAnsiTheme="majorBidi" w:cstheme="majorBidi"/>
          <w:bCs/>
          <w:sz w:val="24"/>
          <w:szCs w:val="24"/>
        </w:rPr>
        <w:t>un</w:t>
      </w:r>
      <w:r w:rsidR="004334BD">
        <w:rPr>
          <w:rFonts w:asciiTheme="majorBidi" w:hAnsiTheme="majorBidi" w:cstheme="majorBidi"/>
          <w:bCs/>
          <w:sz w:val="24"/>
          <w:szCs w:val="24"/>
        </w:rPr>
        <w:t xml:space="preserve"> faible</w:t>
      </w:r>
      <w:r>
        <w:rPr>
          <w:rFonts w:asciiTheme="majorBidi" w:hAnsiTheme="majorBidi" w:cstheme="majorBidi"/>
          <w:bCs/>
          <w:sz w:val="24"/>
          <w:szCs w:val="24"/>
        </w:rPr>
        <w:t xml:space="preserve"> taux d’accès à l’électricité </w:t>
      </w:r>
      <w:r w:rsidR="004334BD">
        <w:rPr>
          <w:rFonts w:asciiTheme="majorBidi" w:hAnsiTheme="majorBidi" w:cstheme="majorBidi"/>
          <w:bCs/>
          <w:sz w:val="24"/>
          <w:szCs w:val="24"/>
        </w:rPr>
        <w:t>(</w:t>
      </w:r>
      <w:r w:rsidR="00FF42E5">
        <w:rPr>
          <w:rFonts w:asciiTheme="majorBidi" w:hAnsiTheme="majorBidi" w:cstheme="majorBidi"/>
          <w:bCs/>
          <w:sz w:val="24"/>
          <w:szCs w:val="24"/>
        </w:rPr>
        <w:t>15,6%</w:t>
      </w:r>
      <w:r w:rsidR="004334BD">
        <w:rPr>
          <w:rFonts w:asciiTheme="majorBidi" w:hAnsiTheme="majorBidi" w:cstheme="majorBidi"/>
          <w:bCs/>
          <w:sz w:val="24"/>
          <w:szCs w:val="24"/>
        </w:rPr>
        <w:t>)</w:t>
      </w:r>
      <w:r>
        <w:rPr>
          <w:rFonts w:asciiTheme="majorBidi" w:hAnsiTheme="majorBidi" w:cstheme="majorBidi"/>
          <w:bCs/>
          <w:sz w:val="24"/>
          <w:szCs w:val="24"/>
        </w:rPr>
        <w:t xml:space="preserve">. </w:t>
      </w:r>
      <w:r w:rsidR="004D3A27">
        <w:rPr>
          <w:rFonts w:asciiTheme="majorBidi" w:hAnsiTheme="majorBidi" w:cstheme="majorBidi"/>
          <w:bCs/>
          <w:sz w:val="24"/>
          <w:szCs w:val="24"/>
        </w:rPr>
        <w:t xml:space="preserve">  </w:t>
      </w:r>
    </w:p>
    <w:p w:rsidR="000E5978" w:rsidRDefault="000E5978" w:rsidP="00D5449E">
      <w:pPr>
        <w:spacing w:line="360" w:lineRule="auto"/>
        <w:jc w:val="both"/>
        <w:rPr>
          <w:rFonts w:asciiTheme="majorBidi" w:hAnsiTheme="majorBidi" w:cstheme="majorBidi"/>
          <w:bCs/>
          <w:sz w:val="24"/>
          <w:szCs w:val="24"/>
        </w:rPr>
      </w:pPr>
      <w:r>
        <w:rPr>
          <w:rFonts w:asciiTheme="majorBidi" w:hAnsiTheme="majorBidi" w:cstheme="majorBidi"/>
          <w:b/>
          <w:bCs/>
          <w:sz w:val="24"/>
          <w:szCs w:val="24"/>
        </w:rPr>
        <w:t xml:space="preserve">Tableau 5 : Présentation des 30 communes ayant les valeurs résiduelles les plus faibles </w:t>
      </w:r>
    </w:p>
    <w:tbl>
      <w:tblPr>
        <w:tblStyle w:val="TableauGrille1Clair"/>
        <w:tblW w:w="7793" w:type="dxa"/>
        <w:jc w:val="center"/>
        <w:tblLook w:val="04A0" w:firstRow="1" w:lastRow="0" w:firstColumn="1" w:lastColumn="0" w:noHBand="0" w:noVBand="1"/>
      </w:tblPr>
      <w:tblGrid>
        <w:gridCol w:w="416"/>
        <w:gridCol w:w="1973"/>
        <w:gridCol w:w="2267"/>
        <w:gridCol w:w="1939"/>
        <w:gridCol w:w="1198"/>
      </w:tblGrid>
      <w:tr w:rsidR="00F45466" w:rsidRPr="00737580" w:rsidTr="00A75C62">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color w:val="000000"/>
                <w:sz w:val="20"/>
                <w:szCs w:val="20"/>
                <w:lang w:eastAsia="fr-FR" w:bidi="ar-SA"/>
              </w:rPr>
            </w:pPr>
          </w:p>
        </w:tc>
        <w:tc>
          <w:tcPr>
            <w:tcW w:w="1973" w:type="dxa"/>
            <w:noWrap/>
            <w:vAlign w:val="center"/>
            <w:hideMark/>
          </w:tcPr>
          <w:p w:rsidR="00F45466" w:rsidRPr="00737580" w:rsidRDefault="00F45466" w:rsidP="00A75C6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Régions</w:t>
            </w:r>
          </w:p>
        </w:tc>
        <w:tc>
          <w:tcPr>
            <w:tcW w:w="2267" w:type="dxa"/>
            <w:noWrap/>
            <w:vAlign w:val="center"/>
            <w:hideMark/>
          </w:tcPr>
          <w:p w:rsidR="00F45466" w:rsidRPr="00737580" w:rsidRDefault="00F45466" w:rsidP="00A75C6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Départements</w:t>
            </w:r>
          </w:p>
        </w:tc>
        <w:tc>
          <w:tcPr>
            <w:tcW w:w="1939" w:type="dxa"/>
            <w:noWrap/>
            <w:vAlign w:val="center"/>
            <w:hideMark/>
          </w:tcPr>
          <w:p w:rsidR="00F45466" w:rsidRPr="00737580" w:rsidRDefault="00F45466" w:rsidP="00A75C6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Communes</w:t>
            </w:r>
          </w:p>
        </w:tc>
        <w:tc>
          <w:tcPr>
            <w:tcW w:w="1198" w:type="dxa"/>
            <w:noWrap/>
            <w:vAlign w:val="center"/>
            <w:hideMark/>
          </w:tcPr>
          <w:p w:rsidR="00F45466" w:rsidRPr="00737580" w:rsidRDefault="00F45466" w:rsidP="00A75C6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Résidus</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1</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EST</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HAUT-NYONG</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MBOMA</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-339,7</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2</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SUD</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MVILA</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NGOULEMAKONG</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-177,5</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3</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SUD-OUEST</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MANYU</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MAMFE</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-154,0</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4</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NORD</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MAYO-REY</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TOUBORO</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-143,9</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5</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SUD-OUEST</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MANYU</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EYUMODJOCK</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-143,5</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6</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LITTORAL</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NKAM</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NDOBIAN</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-139,9</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7</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ADAMAOUA</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MAYO-BANYO</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BANKIM</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-137,3</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8</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LITTORAL</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SANAGA-MARITIME</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NGAMBE</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-133,2</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9</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EXTREME-NORD</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MAYO-DANAY</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GUEME</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-127,2</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10</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SUD-OUEST</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MANYU</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UPPER BAYANG</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-123,7</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11</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ADAMAOUA</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FARO-ET-DEO</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TIGNERE</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-121,8</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12</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SUD</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OCEAN</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NIETE</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-121,1</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13</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CENTRE</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MFOUNDI</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YAOUNDE VII</w:t>
            </w:r>
            <w:r w:rsidRPr="00DA7B5D">
              <w:rPr>
                <w:rFonts w:ascii="Times New Roman" w:eastAsia="Times New Roman" w:hAnsi="Times New Roman" w:cs="Times New Roman"/>
                <w:color w:val="000000"/>
                <w:sz w:val="20"/>
                <w:szCs w:val="20"/>
                <w:vertAlign w:val="superscript"/>
                <w:lang w:eastAsia="fr-FR" w:bidi="ar-SA"/>
              </w:rPr>
              <w:t>E</w:t>
            </w:r>
            <w:r w:rsidR="00DA7B5D">
              <w:rPr>
                <w:rFonts w:ascii="Times New Roman" w:eastAsia="Times New Roman" w:hAnsi="Times New Roman" w:cs="Times New Roman"/>
                <w:color w:val="000000"/>
                <w:sz w:val="20"/>
                <w:szCs w:val="20"/>
                <w:vertAlign w:val="superscript"/>
                <w:lang w:eastAsia="fr-FR" w:bidi="ar-SA"/>
              </w:rPr>
              <w:t>ME</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-120,0</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14</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CENTRE</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HAUTE-SANAGA</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NSEM</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-119,8</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15</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EST</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KADEY</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KENTZOU</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-118,7</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16</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ADAMAOUA</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VINA</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MARTAP</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-118,7</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17</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NORD</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BENOUE</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PITOA</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-118,4</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18</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EXTREME-NORD</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MAYO-DANAY</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YAGOUA</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-116,2</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19</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NORD</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BENOUE</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DEMBO</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-113,0</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20</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EST</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HAUT-NYONG</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LOMIE</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-110,5</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21</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SUD-OUEST</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MEME</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Pr>
                <w:rFonts w:ascii="Times New Roman" w:eastAsia="Times New Roman" w:hAnsi="Times New Roman" w:cs="Times New Roman"/>
                <w:color w:val="000000"/>
                <w:sz w:val="20"/>
                <w:szCs w:val="20"/>
                <w:lang w:eastAsia="fr-FR" w:bidi="ar-SA"/>
              </w:rPr>
              <w:t>KUMBA II</w:t>
            </w:r>
            <w:r w:rsidRPr="00AF6A77">
              <w:rPr>
                <w:rFonts w:ascii="Times New Roman" w:eastAsia="Times New Roman" w:hAnsi="Times New Roman" w:cs="Times New Roman"/>
                <w:color w:val="000000"/>
                <w:sz w:val="20"/>
                <w:szCs w:val="20"/>
                <w:vertAlign w:val="superscript"/>
                <w:lang w:eastAsia="fr-FR" w:bidi="ar-SA"/>
              </w:rPr>
              <w:t>EME</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-108,7</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22</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EXTREME-NORD</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MAYO-KANI</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MOUTOURWA</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-107,8</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23</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EST</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LOM-ET-DJEREM</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DIANG</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-105,3</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24</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CENTRE</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MBAM-ET-INOUBOU</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DEUK</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-105,2</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25</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CENTRE</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NYONG-ET-SO'O</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MENGUEME</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-105,0</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26</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OUEST</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MENOUA</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PENKA-MICHEL</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-104,9</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27</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CENTRE</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MEFOU-ET-AKONO</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AKONO</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-103,4</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28</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ADAMAOUA</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FARO-ET-DEO</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GALIM-TIGNERE</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-103,2</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29</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NORD</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BENOUE</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BASHEO</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-103,0</w:t>
            </w:r>
          </w:p>
        </w:tc>
      </w:tr>
      <w:tr w:rsidR="00F45466" w:rsidRPr="00737580" w:rsidTr="00A75C62">
        <w:trPr>
          <w:trHeight w:val="340"/>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F45466" w:rsidRPr="00737580" w:rsidRDefault="00F45466" w:rsidP="00A75C62">
            <w:pPr>
              <w:spacing w:after="0" w:line="240" w:lineRule="auto"/>
              <w:jc w:val="right"/>
              <w:rPr>
                <w:rFonts w:ascii="Times New Roman" w:eastAsia="Times New Roman" w:hAnsi="Times New Roman" w:cs="Times New Roman"/>
                <w:b w:val="0"/>
                <w:color w:val="000000"/>
                <w:sz w:val="20"/>
                <w:szCs w:val="20"/>
                <w:lang w:eastAsia="fr-FR" w:bidi="ar-SA"/>
              </w:rPr>
            </w:pPr>
            <w:r w:rsidRPr="00737580">
              <w:rPr>
                <w:rFonts w:ascii="Times New Roman" w:eastAsia="Times New Roman" w:hAnsi="Times New Roman" w:cs="Times New Roman"/>
                <w:b w:val="0"/>
                <w:color w:val="000000"/>
                <w:sz w:val="20"/>
                <w:szCs w:val="20"/>
                <w:lang w:eastAsia="fr-FR" w:bidi="ar-SA"/>
              </w:rPr>
              <w:t>30</w:t>
            </w:r>
          </w:p>
        </w:tc>
        <w:tc>
          <w:tcPr>
            <w:tcW w:w="1973"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F45466">
              <w:rPr>
                <w:rFonts w:ascii="Times New Roman" w:eastAsia="Times New Roman" w:hAnsi="Times New Roman" w:cs="Times New Roman"/>
                <w:color w:val="000000"/>
                <w:sz w:val="20"/>
                <w:szCs w:val="20"/>
                <w:lang w:eastAsia="fr-FR" w:bidi="ar-SA"/>
              </w:rPr>
              <w:t>LITTORAL</w:t>
            </w:r>
          </w:p>
        </w:tc>
        <w:tc>
          <w:tcPr>
            <w:tcW w:w="2267"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WOURI</w:t>
            </w:r>
          </w:p>
        </w:tc>
        <w:tc>
          <w:tcPr>
            <w:tcW w:w="1939" w:type="dxa"/>
            <w:noWrap/>
            <w:vAlign w:val="center"/>
            <w:hideMark/>
          </w:tcPr>
          <w:p w:rsidR="00F45466" w:rsidRPr="00737580" w:rsidRDefault="00F45466" w:rsidP="00A75C6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DOUALA VI</w:t>
            </w:r>
            <w:r w:rsidRPr="008B5505">
              <w:rPr>
                <w:rFonts w:ascii="Times New Roman" w:eastAsia="Times New Roman" w:hAnsi="Times New Roman" w:cs="Times New Roman"/>
                <w:color w:val="000000"/>
                <w:sz w:val="20"/>
                <w:szCs w:val="20"/>
                <w:vertAlign w:val="superscript"/>
                <w:lang w:eastAsia="fr-FR" w:bidi="ar-SA"/>
              </w:rPr>
              <w:t>E</w:t>
            </w:r>
            <w:r w:rsidR="008B5505">
              <w:rPr>
                <w:rFonts w:ascii="Times New Roman" w:eastAsia="Times New Roman" w:hAnsi="Times New Roman" w:cs="Times New Roman"/>
                <w:color w:val="000000"/>
                <w:sz w:val="20"/>
                <w:szCs w:val="20"/>
                <w:vertAlign w:val="superscript"/>
                <w:lang w:eastAsia="fr-FR" w:bidi="ar-SA"/>
              </w:rPr>
              <w:t>ME</w:t>
            </w:r>
          </w:p>
        </w:tc>
        <w:tc>
          <w:tcPr>
            <w:tcW w:w="1198" w:type="dxa"/>
            <w:noWrap/>
            <w:vAlign w:val="center"/>
            <w:hideMark/>
          </w:tcPr>
          <w:p w:rsidR="00F45466" w:rsidRPr="00737580" w:rsidRDefault="00F45466" w:rsidP="00A75C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bidi="ar-SA"/>
              </w:rPr>
            </w:pPr>
            <w:r w:rsidRPr="00737580">
              <w:rPr>
                <w:rFonts w:ascii="Times New Roman" w:eastAsia="Times New Roman" w:hAnsi="Times New Roman" w:cs="Times New Roman"/>
                <w:color w:val="000000"/>
                <w:sz w:val="20"/>
                <w:szCs w:val="20"/>
                <w:lang w:eastAsia="fr-FR" w:bidi="ar-SA"/>
              </w:rPr>
              <w:t>-101,4</w:t>
            </w:r>
          </w:p>
        </w:tc>
      </w:tr>
    </w:tbl>
    <w:p w:rsidR="0013288B" w:rsidRPr="00210A7C" w:rsidRDefault="0013288B" w:rsidP="003F1FA3">
      <w:pPr>
        <w:spacing w:line="360" w:lineRule="auto"/>
        <w:jc w:val="both"/>
        <w:rPr>
          <w:rFonts w:asciiTheme="majorBidi" w:hAnsiTheme="majorBidi" w:cstheme="majorBidi"/>
          <w:b/>
          <w:bCs/>
          <w:sz w:val="24"/>
          <w:szCs w:val="24"/>
        </w:rPr>
      </w:pPr>
      <w:r w:rsidRPr="00210A7C">
        <w:rPr>
          <w:rFonts w:asciiTheme="majorBidi" w:hAnsiTheme="majorBidi" w:cstheme="majorBidi"/>
          <w:b/>
          <w:bCs/>
          <w:sz w:val="24"/>
          <w:szCs w:val="24"/>
        </w:rPr>
        <w:lastRenderedPageBreak/>
        <w:t xml:space="preserve">4. Enjeux pour l’émergence du Cameroun </w:t>
      </w:r>
    </w:p>
    <w:p w:rsidR="004131ED" w:rsidRDefault="004131ED" w:rsidP="003F1FA3">
      <w:pPr>
        <w:jc w:val="both"/>
        <w:rPr>
          <w:rFonts w:asciiTheme="majorBidi" w:hAnsiTheme="majorBidi" w:cstheme="majorBidi"/>
          <w:sz w:val="24"/>
          <w:szCs w:val="24"/>
        </w:rPr>
      </w:pPr>
      <w:r>
        <w:rPr>
          <w:rFonts w:asciiTheme="majorBidi" w:hAnsiTheme="majorBidi" w:cstheme="majorBidi"/>
          <w:sz w:val="24"/>
          <w:szCs w:val="24"/>
        </w:rPr>
        <w:t xml:space="preserve">L’outil de modélisation de l’allocation des RI aux communes permettra d’améliorer la performance dans l’exécution du BIP. En effet, lorsque les RI sont réparties équitablement, l’on évite de concentrer les travaux dans certaines localités. Cette segmentation des risques est salutaire, car elle permet de réduire la corrélation entre les risques associés aux travaux dans les différentes localités. En somme, l’on obtient un meilleur résultat en </w:t>
      </w:r>
      <w:r w:rsidR="00C036FE">
        <w:rPr>
          <w:rFonts w:asciiTheme="majorBidi" w:hAnsiTheme="majorBidi" w:cstheme="majorBidi"/>
          <w:sz w:val="24"/>
          <w:szCs w:val="24"/>
        </w:rPr>
        <w:t>termes</w:t>
      </w:r>
      <w:r>
        <w:rPr>
          <w:rFonts w:asciiTheme="majorBidi" w:hAnsiTheme="majorBidi" w:cstheme="majorBidi"/>
          <w:sz w:val="24"/>
          <w:szCs w:val="24"/>
        </w:rPr>
        <w:t xml:space="preserve"> de réalisation concrète des infrastructures</w:t>
      </w:r>
      <w:r w:rsidR="00C036FE">
        <w:rPr>
          <w:rFonts w:asciiTheme="majorBidi" w:hAnsiTheme="majorBidi" w:cstheme="majorBidi"/>
          <w:sz w:val="24"/>
          <w:szCs w:val="24"/>
        </w:rPr>
        <w:t xml:space="preserve"> socioéconomiques</w:t>
      </w:r>
      <w:r>
        <w:rPr>
          <w:rFonts w:asciiTheme="majorBidi" w:hAnsiTheme="majorBidi" w:cstheme="majorBidi"/>
          <w:sz w:val="24"/>
          <w:szCs w:val="24"/>
        </w:rPr>
        <w:t>.</w:t>
      </w:r>
    </w:p>
    <w:p w:rsidR="00BD1DBA" w:rsidRDefault="00BD1DBA" w:rsidP="003F1FA3">
      <w:pPr>
        <w:jc w:val="both"/>
        <w:rPr>
          <w:rFonts w:asciiTheme="majorBidi" w:hAnsiTheme="majorBidi" w:cstheme="majorBidi"/>
          <w:sz w:val="24"/>
          <w:szCs w:val="24"/>
        </w:rPr>
      </w:pPr>
      <w:r>
        <w:rPr>
          <w:rFonts w:asciiTheme="majorBidi" w:hAnsiTheme="majorBidi" w:cstheme="majorBidi"/>
          <w:sz w:val="24"/>
          <w:szCs w:val="24"/>
        </w:rPr>
        <w:t>Dans la même veine, l’Indice de Répartition Equitable (IRE) permet de mettre en lumière les poches de pauvreté, ce qui permettra de réduire efficacement la pauvreté</w:t>
      </w:r>
      <w:r w:rsidR="00104872">
        <w:rPr>
          <w:rFonts w:asciiTheme="majorBidi" w:hAnsiTheme="majorBidi" w:cstheme="majorBidi"/>
          <w:sz w:val="24"/>
          <w:szCs w:val="24"/>
        </w:rPr>
        <w:t xml:space="preserve"> au niveau national</w:t>
      </w:r>
      <w:r>
        <w:rPr>
          <w:rFonts w:asciiTheme="majorBidi" w:hAnsiTheme="majorBidi" w:cstheme="majorBidi"/>
          <w:sz w:val="24"/>
          <w:szCs w:val="24"/>
        </w:rPr>
        <w:t>, en droite ligne des objectifs de la vision.</w:t>
      </w:r>
    </w:p>
    <w:p w:rsidR="00563042" w:rsidRDefault="00563042" w:rsidP="003F1FA3">
      <w:pPr>
        <w:jc w:val="both"/>
        <w:rPr>
          <w:rFonts w:asciiTheme="majorBidi" w:hAnsiTheme="majorBidi" w:cstheme="majorBidi"/>
          <w:sz w:val="24"/>
          <w:szCs w:val="24"/>
        </w:rPr>
      </w:pPr>
      <w:r>
        <w:rPr>
          <w:rFonts w:asciiTheme="majorBidi" w:hAnsiTheme="majorBidi" w:cstheme="majorBidi"/>
          <w:sz w:val="24"/>
          <w:szCs w:val="24"/>
        </w:rPr>
        <w:t>Les populations au niveau local pourront adhérer à la vision si</w:t>
      </w:r>
      <w:r w:rsidR="00F301A5">
        <w:rPr>
          <w:rFonts w:asciiTheme="majorBidi" w:hAnsiTheme="majorBidi" w:cstheme="majorBidi"/>
          <w:sz w:val="24"/>
          <w:szCs w:val="24"/>
        </w:rPr>
        <w:t xml:space="preserve"> elles ont le sentiment que</w:t>
      </w:r>
      <w:r>
        <w:rPr>
          <w:rFonts w:asciiTheme="majorBidi" w:hAnsiTheme="majorBidi" w:cstheme="majorBidi"/>
          <w:sz w:val="24"/>
          <w:szCs w:val="24"/>
        </w:rPr>
        <w:t xml:space="preserve"> leurs préoccupations sont prises en compte. La diffusion de l’information sur l’IRE permettra donc au public de prendre conscience des efforts</w:t>
      </w:r>
      <w:r w:rsidR="00061841">
        <w:rPr>
          <w:rFonts w:asciiTheme="majorBidi" w:hAnsiTheme="majorBidi" w:cstheme="majorBidi"/>
          <w:sz w:val="24"/>
          <w:szCs w:val="24"/>
        </w:rPr>
        <w:t xml:space="preserve"> de répartition</w:t>
      </w:r>
      <w:r>
        <w:rPr>
          <w:rFonts w:asciiTheme="majorBidi" w:hAnsiTheme="majorBidi" w:cstheme="majorBidi"/>
          <w:sz w:val="24"/>
          <w:szCs w:val="24"/>
        </w:rPr>
        <w:t xml:space="preserve"> consentis, ce qui permettra d’améliorer les perceptions relatives à l’efficacité de l’action publique.</w:t>
      </w:r>
    </w:p>
    <w:p w:rsidR="001D5D53" w:rsidRDefault="00B42539" w:rsidP="003F1FA3">
      <w:pPr>
        <w:jc w:val="both"/>
        <w:rPr>
          <w:rFonts w:asciiTheme="majorBidi" w:hAnsiTheme="majorBidi" w:cstheme="majorBidi"/>
          <w:sz w:val="24"/>
          <w:szCs w:val="24"/>
        </w:rPr>
      </w:pPr>
      <w:r>
        <w:rPr>
          <w:rFonts w:asciiTheme="majorBidi" w:hAnsiTheme="majorBidi" w:cstheme="majorBidi"/>
          <w:sz w:val="24"/>
          <w:szCs w:val="24"/>
        </w:rPr>
        <w:t>Enfin, la production et la diffusion de l’information budgétaire favorise la</w:t>
      </w:r>
      <w:r w:rsidR="007A677A">
        <w:rPr>
          <w:rFonts w:asciiTheme="majorBidi" w:hAnsiTheme="majorBidi" w:cstheme="majorBidi"/>
          <w:sz w:val="24"/>
          <w:szCs w:val="24"/>
        </w:rPr>
        <w:t xml:space="preserve"> </w:t>
      </w:r>
      <w:r w:rsidR="001C4886">
        <w:rPr>
          <w:rFonts w:asciiTheme="majorBidi" w:hAnsiTheme="majorBidi" w:cstheme="majorBidi"/>
          <w:sz w:val="24"/>
          <w:szCs w:val="24"/>
        </w:rPr>
        <w:t>gouvernance budgétaire </w:t>
      </w:r>
      <w:r>
        <w:rPr>
          <w:rFonts w:asciiTheme="majorBidi" w:hAnsiTheme="majorBidi" w:cstheme="majorBidi"/>
          <w:sz w:val="24"/>
          <w:szCs w:val="24"/>
        </w:rPr>
        <w:t>(</w:t>
      </w:r>
      <w:r w:rsidR="001C4886">
        <w:rPr>
          <w:rFonts w:asciiTheme="majorBidi" w:hAnsiTheme="majorBidi" w:cstheme="majorBidi"/>
          <w:sz w:val="24"/>
          <w:szCs w:val="24"/>
        </w:rPr>
        <w:t>transparence</w:t>
      </w:r>
      <w:r>
        <w:rPr>
          <w:rFonts w:asciiTheme="majorBidi" w:hAnsiTheme="majorBidi" w:cstheme="majorBidi"/>
          <w:sz w:val="24"/>
          <w:szCs w:val="24"/>
        </w:rPr>
        <w:t>, reddition des comptes, prise en compte des acteurs les plus vulnérables).</w:t>
      </w:r>
      <w:r w:rsidR="001C4886">
        <w:rPr>
          <w:rFonts w:asciiTheme="majorBidi" w:hAnsiTheme="majorBidi" w:cstheme="majorBidi"/>
          <w:sz w:val="24"/>
          <w:szCs w:val="24"/>
        </w:rPr>
        <w:t xml:space="preserve"> </w:t>
      </w:r>
      <w:r w:rsidR="00210A7C">
        <w:rPr>
          <w:rFonts w:asciiTheme="majorBidi" w:hAnsiTheme="majorBidi" w:cstheme="majorBidi"/>
          <w:sz w:val="24"/>
          <w:szCs w:val="24"/>
        </w:rPr>
        <w:t xml:space="preserve"> </w:t>
      </w:r>
    </w:p>
    <w:p w:rsidR="001D5D53" w:rsidRPr="001D5D53" w:rsidRDefault="001D5D53" w:rsidP="003F1FA3">
      <w:pPr>
        <w:jc w:val="both"/>
        <w:rPr>
          <w:rFonts w:asciiTheme="majorBidi" w:hAnsiTheme="majorBidi" w:cstheme="majorBidi"/>
          <w:b/>
          <w:sz w:val="24"/>
          <w:szCs w:val="24"/>
        </w:rPr>
      </w:pPr>
      <w:r w:rsidRPr="001D5D53">
        <w:rPr>
          <w:rFonts w:asciiTheme="majorBidi" w:hAnsiTheme="majorBidi" w:cstheme="majorBidi"/>
          <w:b/>
          <w:sz w:val="24"/>
          <w:szCs w:val="24"/>
        </w:rPr>
        <w:t>Recommandations</w:t>
      </w:r>
    </w:p>
    <w:p w:rsidR="00FA0A53" w:rsidRDefault="00FA0A53" w:rsidP="00FA0A53">
      <w:pPr>
        <w:pStyle w:val="Paragraphedeliste"/>
        <w:numPr>
          <w:ilvl w:val="0"/>
          <w:numId w:val="7"/>
        </w:numPr>
        <w:jc w:val="both"/>
        <w:rPr>
          <w:rFonts w:asciiTheme="majorBidi" w:hAnsiTheme="majorBidi" w:cstheme="majorBidi"/>
          <w:sz w:val="24"/>
          <w:szCs w:val="24"/>
        </w:rPr>
      </w:pPr>
      <w:r>
        <w:rPr>
          <w:rFonts w:asciiTheme="majorBidi" w:hAnsiTheme="majorBidi" w:cstheme="majorBidi"/>
          <w:sz w:val="24"/>
          <w:szCs w:val="24"/>
        </w:rPr>
        <w:t>Au terme de cette étude, il est important d’intégrer dans la deuxième phase de la vision</w:t>
      </w:r>
      <w:r w:rsidR="00331DD8">
        <w:rPr>
          <w:rFonts w:asciiTheme="majorBidi" w:hAnsiTheme="majorBidi" w:cstheme="majorBidi"/>
          <w:sz w:val="24"/>
          <w:szCs w:val="24"/>
        </w:rPr>
        <w:t xml:space="preserve"> de développement</w:t>
      </w:r>
      <w:r>
        <w:rPr>
          <w:rFonts w:asciiTheme="majorBidi" w:hAnsiTheme="majorBidi" w:cstheme="majorBidi"/>
          <w:sz w:val="24"/>
          <w:szCs w:val="24"/>
        </w:rPr>
        <w:t xml:space="preserve"> les aspects liés à la répartition équitable des ressources entre les collectivités. </w:t>
      </w:r>
      <w:r w:rsidR="00511D49">
        <w:rPr>
          <w:rFonts w:asciiTheme="majorBidi" w:hAnsiTheme="majorBidi" w:cstheme="majorBidi"/>
          <w:sz w:val="24"/>
          <w:szCs w:val="24"/>
        </w:rPr>
        <w:t xml:space="preserve">Le taux de répartition équitable étant inférieur à 20%, l’on pourrait fixer un </w:t>
      </w:r>
      <w:r w:rsidR="00511D49" w:rsidRPr="001E7B20">
        <w:rPr>
          <w:rFonts w:asciiTheme="majorBidi" w:hAnsiTheme="majorBidi" w:cstheme="majorBidi"/>
          <w:b/>
          <w:sz w:val="24"/>
          <w:szCs w:val="24"/>
        </w:rPr>
        <w:t>objectif d’amélioration de</w:t>
      </w:r>
      <w:r w:rsidR="00EA70A3">
        <w:rPr>
          <w:rFonts w:asciiTheme="majorBidi" w:hAnsiTheme="majorBidi" w:cstheme="majorBidi"/>
          <w:b/>
          <w:sz w:val="24"/>
          <w:szCs w:val="24"/>
        </w:rPr>
        <w:t xml:space="preserve"> l’IRE de</w:t>
      </w:r>
      <w:r w:rsidR="00511D49" w:rsidRPr="001E7B20">
        <w:rPr>
          <w:rFonts w:asciiTheme="majorBidi" w:hAnsiTheme="majorBidi" w:cstheme="majorBidi"/>
          <w:b/>
          <w:sz w:val="24"/>
          <w:szCs w:val="24"/>
        </w:rPr>
        <w:t xml:space="preserve"> 5% chaque exercice</w:t>
      </w:r>
      <w:r w:rsidR="00D13A38">
        <w:rPr>
          <w:rFonts w:asciiTheme="majorBidi" w:hAnsiTheme="majorBidi" w:cstheme="majorBidi"/>
          <w:sz w:val="24"/>
          <w:szCs w:val="24"/>
        </w:rPr>
        <w:t>, selon le tableau</w:t>
      </w:r>
      <w:r w:rsidR="00511D49">
        <w:rPr>
          <w:rFonts w:asciiTheme="majorBidi" w:hAnsiTheme="majorBidi" w:cstheme="majorBidi"/>
          <w:sz w:val="24"/>
          <w:szCs w:val="24"/>
        </w:rPr>
        <w:t xml:space="preserve"> d’objectifs ci-après.</w:t>
      </w:r>
      <w:r w:rsidR="00C43C3F">
        <w:rPr>
          <w:rFonts w:asciiTheme="majorBidi" w:hAnsiTheme="majorBidi" w:cstheme="majorBidi"/>
          <w:sz w:val="24"/>
          <w:szCs w:val="24"/>
        </w:rPr>
        <w:t xml:space="preserve"> Ainsi, l’</w:t>
      </w:r>
      <w:r w:rsidR="00331DD8">
        <w:rPr>
          <w:rFonts w:asciiTheme="majorBidi" w:hAnsiTheme="majorBidi" w:cstheme="majorBidi"/>
          <w:sz w:val="24"/>
          <w:szCs w:val="24"/>
        </w:rPr>
        <w:t>IRE</w:t>
      </w:r>
      <w:r w:rsidR="00C519C1">
        <w:rPr>
          <w:rFonts w:asciiTheme="majorBidi" w:hAnsiTheme="majorBidi" w:cstheme="majorBidi"/>
          <w:sz w:val="24"/>
          <w:szCs w:val="24"/>
        </w:rPr>
        <w:t xml:space="preserve"> serait </w:t>
      </w:r>
      <w:proofErr w:type="gramStart"/>
      <w:r w:rsidR="00C519C1">
        <w:rPr>
          <w:rFonts w:asciiTheme="majorBidi" w:hAnsiTheme="majorBidi" w:cstheme="majorBidi"/>
          <w:sz w:val="24"/>
          <w:szCs w:val="24"/>
        </w:rPr>
        <w:t>compris</w:t>
      </w:r>
      <w:proofErr w:type="gramEnd"/>
      <w:r w:rsidR="00C519C1">
        <w:rPr>
          <w:rFonts w:asciiTheme="majorBidi" w:hAnsiTheme="majorBidi" w:cstheme="majorBidi"/>
          <w:sz w:val="24"/>
          <w:szCs w:val="24"/>
        </w:rPr>
        <w:t xml:space="preserve"> dans l’intervalle [30% ;70%]</w:t>
      </w:r>
      <w:r w:rsidR="00C76023">
        <w:rPr>
          <w:rFonts w:asciiTheme="majorBidi" w:hAnsiTheme="majorBidi" w:cstheme="majorBidi"/>
          <w:sz w:val="24"/>
          <w:szCs w:val="24"/>
        </w:rPr>
        <w:t xml:space="preserve"> entre 2020 et 2027, le seuil de 50% étant franchi en 2024</w:t>
      </w:r>
      <w:r w:rsidR="00C43C3F">
        <w:rPr>
          <w:rFonts w:asciiTheme="majorBidi" w:hAnsiTheme="majorBidi" w:cstheme="majorBidi"/>
          <w:sz w:val="24"/>
          <w:szCs w:val="24"/>
        </w:rPr>
        <w:t>.</w:t>
      </w:r>
    </w:p>
    <w:tbl>
      <w:tblPr>
        <w:tblStyle w:val="TableauGrille1Clair"/>
        <w:tblW w:w="5428" w:type="pct"/>
        <w:jc w:val="center"/>
        <w:tblLook w:val="04A0" w:firstRow="1" w:lastRow="0" w:firstColumn="1" w:lastColumn="0" w:noHBand="0" w:noVBand="1"/>
      </w:tblPr>
      <w:tblGrid>
        <w:gridCol w:w="2980"/>
        <w:gridCol w:w="1234"/>
        <w:gridCol w:w="696"/>
        <w:gridCol w:w="697"/>
        <w:gridCol w:w="697"/>
        <w:gridCol w:w="697"/>
        <w:gridCol w:w="697"/>
        <w:gridCol w:w="697"/>
        <w:gridCol w:w="697"/>
        <w:gridCol w:w="696"/>
      </w:tblGrid>
      <w:tr w:rsidR="006761B6" w:rsidRPr="001E493A" w:rsidTr="009E4E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3" w:type="pct"/>
            <w:vMerge w:val="restart"/>
          </w:tcPr>
          <w:p w:rsidR="006761B6" w:rsidRPr="001E493A" w:rsidRDefault="006761B6" w:rsidP="006761B6">
            <w:pPr>
              <w:spacing w:after="0" w:line="240" w:lineRule="auto"/>
              <w:rPr>
                <w:rFonts w:asciiTheme="majorBidi" w:hAnsiTheme="majorBidi" w:cstheme="majorBidi"/>
                <w:b w:val="0"/>
                <w:sz w:val="24"/>
                <w:szCs w:val="24"/>
              </w:rPr>
            </w:pPr>
            <w:r w:rsidRPr="00D619D7">
              <w:rPr>
                <w:rFonts w:asciiTheme="majorBidi" w:hAnsiTheme="majorBidi" w:cstheme="majorBidi"/>
                <w:sz w:val="24"/>
                <w:szCs w:val="24"/>
              </w:rPr>
              <w:t>Indice de Répartition Equitable (IRE)</w:t>
            </w:r>
            <w:r w:rsidRPr="001E493A">
              <w:rPr>
                <w:rFonts w:asciiTheme="majorBidi" w:hAnsiTheme="majorBidi" w:cstheme="majorBidi"/>
                <w:b w:val="0"/>
                <w:sz w:val="24"/>
                <w:szCs w:val="24"/>
              </w:rPr>
              <w:t xml:space="preserve"> des ressources</w:t>
            </w:r>
            <w:r w:rsidR="009E4EB6">
              <w:rPr>
                <w:rFonts w:asciiTheme="majorBidi" w:hAnsiTheme="majorBidi" w:cstheme="majorBidi"/>
                <w:b w:val="0"/>
                <w:sz w:val="24"/>
                <w:szCs w:val="24"/>
              </w:rPr>
              <w:t xml:space="preserve"> d’investissement</w:t>
            </w:r>
            <w:r w:rsidRPr="001E493A">
              <w:rPr>
                <w:rFonts w:asciiTheme="majorBidi" w:hAnsiTheme="majorBidi" w:cstheme="majorBidi"/>
                <w:b w:val="0"/>
                <w:sz w:val="24"/>
                <w:szCs w:val="24"/>
              </w:rPr>
              <w:t xml:space="preserve"> entre les communes</w:t>
            </w:r>
          </w:p>
        </w:tc>
        <w:tc>
          <w:tcPr>
            <w:tcW w:w="631" w:type="pct"/>
          </w:tcPr>
          <w:p w:rsidR="006761B6" w:rsidRPr="001E493A" w:rsidRDefault="006761B6" w:rsidP="006761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rPr>
            </w:pPr>
            <w:r w:rsidRPr="001E493A">
              <w:rPr>
                <w:rFonts w:asciiTheme="majorBidi" w:hAnsiTheme="majorBidi" w:cstheme="majorBidi"/>
                <w:b w:val="0"/>
                <w:sz w:val="24"/>
                <w:szCs w:val="24"/>
              </w:rPr>
              <w:t>Valeur de référence</w:t>
            </w:r>
          </w:p>
        </w:tc>
        <w:tc>
          <w:tcPr>
            <w:tcW w:w="2845" w:type="pct"/>
            <w:gridSpan w:val="8"/>
            <w:vAlign w:val="center"/>
          </w:tcPr>
          <w:p w:rsidR="006761B6" w:rsidRPr="001E493A" w:rsidRDefault="006761B6" w:rsidP="006761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rPr>
            </w:pPr>
            <w:r w:rsidRPr="001E493A">
              <w:rPr>
                <w:rFonts w:asciiTheme="majorBidi" w:hAnsiTheme="majorBidi" w:cstheme="majorBidi"/>
                <w:b w:val="0"/>
                <w:sz w:val="24"/>
                <w:szCs w:val="24"/>
              </w:rPr>
              <w:t>Valeurs cibles</w:t>
            </w:r>
          </w:p>
        </w:tc>
      </w:tr>
      <w:tr w:rsidR="006761B6" w:rsidRPr="001E493A" w:rsidTr="009E4EB6">
        <w:trPr>
          <w:jc w:val="center"/>
        </w:trPr>
        <w:tc>
          <w:tcPr>
            <w:cnfStyle w:val="001000000000" w:firstRow="0" w:lastRow="0" w:firstColumn="1" w:lastColumn="0" w:oddVBand="0" w:evenVBand="0" w:oddHBand="0" w:evenHBand="0" w:firstRowFirstColumn="0" w:firstRowLastColumn="0" w:lastRowFirstColumn="0" w:lastRowLastColumn="0"/>
            <w:tcW w:w="1523" w:type="pct"/>
            <w:vMerge/>
          </w:tcPr>
          <w:p w:rsidR="006761B6" w:rsidRPr="001E493A" w:rsidRDefault="006761B6" w:rsidP="006761B6">
            <w:pPr>
              <w:spacing w:after="0" w:line="240" w:lineRule="auto"/>
              <w:jc w:val="both"/>
              <w:rPr>
                <w:rFonts w:asciiTheme="majorBidi" w:hAnsiTheme="majorBidi" w:cstheme="majorBidi"/>
                <w:b w:val="0"/>
                <w:sz w:val="24"/>
                <w:szCs w:val="24"/>
              </w:rPr>
            </w:pPr>
          </w:p>
        </w:tc>
        <w:tc>
          <w:tcPr>
            <w:tcW w:w="631" w:type="pct"/>
          </w:tcPr>
          <w:p w:rsidR="006761B6" w:rsidRPr="001E493A" w:rsidRDefault="006761B6"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493A">
              <w:rPr>
                <w:rFonts w:asciiTheme="majorBidi" w:hAnsiTheme="majorBidi" w:cstheme="majorBidi"/>
                <w:sz w:val="24"/>
                <w:szCs w:val="24"/>
              </w:rPr>
              <w:t>2017</w:t>
            </w:r>
          </w:p>
        </w:tc>
        <w:tc>
          <w:tcPr>
            <w:tcW w:w="356" w:type="pct"/>
          </w:tcPr>
          <w:p w:rsidR="006761B6" w:rsidRPr="001E493A" w:rsidRDefault="006761B6"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493A">
              <w:rPr>
                <w:rFonts w:asciiTheme="majorBidi" w:hAnsiTheme="majorBidi" w:cstheme="majorBidi"/>
                <w:sz w:val="24"/>
                <w:szCs w:val="24"/>
              </w:rPr>
              <w:t>2020</w:t>
            </w:r>
          </w:p>
        </w:tc>
        <w:tc>
          <w:tcPr>
            <w:tcW w:w="356" w:type="pct"/>
          </w:tcPr>
          <w:p w:rsidR="006761B6" w:rsidRPr="001E493A" w:rsidRDefault="006761B6"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493A">
              <w:rPr>
                <w:rFonts w:asciiTheme="majorBidi" w:hAnsiTheme="majorBidi" w:cstheme="majorBidi"/>
                <w:sz w:val="24"/>
                <w:szCs w:val="24"/>
              </w:rPr>
              <w:t>2021</w:t>
            </w:r>
          </w:p>
        </w:tc>
        <w:tc>
          <w:tcPr>
            <w:tcW w:w="356" w:type="pct"/>
          </w:tcPr>
          <w:p w:rsidR="006761B6" w:rsidRPr="001E493A" w:rsidRDefault="006761B6"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493A">
              <w:rPr>
                <w:rFonts w:asciiTheme="majorBidi" w:hAnsiTheme="majorBidi" w:cstheme="majorBidi"/>
                <w:sz w:val="24"/>
                <w:szCs w:val="24"/>
              </w:rPr>
              <w:t>2022</w:t>
            </w:r>
          </w:p>
        </w:tc>
        <w:tc>
          <w:tcPr>
            <w:tcW w:w="356" w:type="pct"/>
          </w:tcPr>
          <w:p w:rsidR="006761B6" w:rsidRPr="001E493A" w:rsidRDefault="006761B6"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493A">
              <w:rPr>
                <w:rFonts w:asciiTheme="majorBidi" w:hAnsiTheme="majorBidi" w:cstheme="majorBidi"/>
                <w:sz w:val="24"/>
                <w:szCs w:val="24"/>
              </w:rPr>
              <w:t>2023</w:t>
            </w:r>
          </w:p>
        </w:tc>
        <w:tc>
          <w:tcPr>
            <w:tcW w:w="356" w:type="pct"/>
          </w:tcPr>
          <w:p w:rsidR="006761B6" w:rsidRPr="001E493A" w:rsidRDefault="006761B6"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493A">
              <w:rPr>
                <w:rFonts w:asciiTheme="majorBidi" w:hAnsiTheme="majorBidi" w:cstheme="majorBidi"/>
                <w:sz w:val="24"/>
                <w:szCs w:val="24"/>
              </w:rPr>
              <w:t>2024</w:t>
            </w:r>
          </w:p>
        </w:tc>
        <w:tc>
          <w:tcPr>
            <w:tcW w:w="356" w:type="pct"/>
          </w:tcPr>
          <w:p w:rsidR="006761B6" w:rsidRPr="001E493A" w:rsidRDefault="006761B6"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493A">
              <w:rPr>
                <w:rFonts w:asciiTheme="majorBidi" w:hAnsiTheme="majorBidi" w:cstheme="majorBidi"/>
                <w:sz w:val="24"/>
                <w:szCs w:val="24"/>
              </w:rPr>
              <w:t>2025</w:t>
            </w:r>
          </w:p>
        </w:tc>
        <w:tc>
          <w:tcPr>
            <w:tcW w:w="356" w:type="pct"/>
          </w:tcPr>
          <w:p w:rsidR="006761B6" w:rsidRPr="001E493A" w:rsidRDefault="006761B6"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493A">
              <w:rPr>
                <w:rFonts w:asciiTheme="majorBidi" w:hAnsiTheme="majorBidi" w:cstheme="majorBidi"/>
                <w:sz w:val="24"/>
                <w:szCs w:val="24"/>
              </w:rPr>
              <w:t>2026</w:t>
            </w:r>
          </w:p>
        </w:tc>
        <w:tc>
          <w:tcPr>
            <w:tcW w:w="356" w:type="pct"/>
          </w:tcPr>
          <w:p w:rsidR="006761B6" w:rsidRPr="001E493A" w:rsidRDefault="006761B6"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493A">
              <w:rPr>
                <w:rFonts w:asciiTheme="majorBidi" w:hAnsiTheme="majorBidi" w:cstheme="majorBidi"/>
                <w:sz w:val="24"/>
                <w:szCs w:val="24"/>
              </w:rPr>
              <w:t>2027</w:t>
            </w:r>
          </w:p>
        </w:tc>
      </w:tr>
      <w:tr w:rsidR="006761B6" w:rsidRPr="001E493A" w:rsidTr="009E4EB6">
        <w:trPr>
          <w:jc w:val="center"/>
        </w:trPr>
        <w:tc>
          <w:tcPr>
            <w:cnfStyle w:val="001000000000" w:firstRow="0" w:lastRow="0" w:firstColumn="1" w:lastColumn="0" w:oddVBand="0" w:evenVBand="0" w:oddHBand="0" w:evenHBand="0" w:firstRowFirstColumn="0" w:firstRowLastColumn="0" w:lastRowFirstColumn="0" w:lastRowLastColumn="0"/>
            <w:tcW w:w="1523" w:type="pct"/>
            <w:vMerge/>
          </w:tcPr>
          <w:p w:rsidR="006761B6" w:rsidRPr="001E493A" w:rsidRDefault="006761B6" w:rsidP="006761B6">
            <w:pPr>
              <w:spacing w:after="0" w:line="240" w:lineRule="auto"/>
              <w:jc w:val="both"/>
              <w:rPr>
                <w:rFonts w:asciiTheme="majorBidi" w:hAnsiTheme="majorBidi" w:cstheme="majorBidi"/>
                <w:b w:val="0"/>
                <w:sz w:val="24"/>
                <w:szCs w:val="24"/>
              </w:rPr>
            </w:pPr>
          </w:p>
        </w:tc>
        <w:tc>
          <w:tcPr>
            <w:tcW w:w="631" w:type="pct"/>
          </w:tcPr>
          <w:p w:rsidR="006761B6" w:rsidRPr="001E493A" w:rsidRDefault="006761B6"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493A">
              <w:rPr>
                <w:rFonts w:asciiTheme="majorBidi" w:hAnsiTheme="majorBidi" w:cstheme="majorBidi"/>
                <w:bCs/>
                <w:sz w:val="24"/>
                <w:szCs w:val="24"/>
              </w:rPr>
              <w:t>18,07%</w:t>
            </w:r>
          </w:p>
        </w:tc>
        <w:tc>
          <w:tcPr>
            <w:tcW w:w="356" w:type="pct"/>
          </w:tcPr>
          <w:p w:rsidR="006761B6" w:rsidRPr="001E493A" w:rsidRDefault="00C519C1"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r w:rsidR="006761B6" w:rsidRPr="001E493A">
              <w:rPr>
                <w:rFonts w:asciiTheme="majorBidi" w:hAnsiTheme="majorBidi" w:cstheme="majorBidi"/>
                <w:sz w:val="24"/>
                <w:szCs w:val="24"/>
              </w:rPr>
              <w:t>%</w:t>
            </w:r>
          </w:p>
        </w:tc>
        <w:tc>
          <w:tcPr>
            <w:tcW w:w="356" w:type="pct"/>
          </w:tcPr>
          <w:p w:rsidR="006761B6" w:rsidRPr="001E493A" w:rsidRDefault="006761B6" w:rsidP="00C519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493A">
              <w:rPr>
                <w:rFonts w:asciiTheme="majorBidi" w:hAnsiTheme="majorBidi" w:cstheme="majorBidi"/>
                <w:sz w:val="24"/>
                <w:szCs w:val="24"/>
              </w:rPr>
              <w:t>3</w:t>
            </w:r>
            <w:r w:rsidR="00C519C1">
              <w:rPr>
                <w:rFonts w:asciiTheme="majorBidi" w:hAnsiTheme="majorBidi" w:cstheme="majorBidi"/>
                <w:sz w:val="24"/>
                <w:szCs w:val="24"/>
              </w:rPr>
              <w:t>5</w:t>
            </w:r>
            <w:r w:rsidRPr="001E493A">
              <w:rPr>
                <w:rFonts w:asciiTheme="majorBidi" w:hAnsiTheme="majorBidi" w:cstheme="majorBidi"/>
                <w:sz w:val="24"/>
                <w:szCs w:val="24"/>
              </w:rPr>
              <w:t>%</w:t>
            </w:r>
          </w:p>
        </w:tc>
        <w:tc>
          <w:tcPr>
            <w:tcW w:w="356" w:type="pct"/>
          </w:tcPr>
          <w:p w:rsidR="006761B6" w:rsidRPr="001E493A" w:rsidRDefault="00C519C1"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40</w:t>
            </w:r>
            <w:r w:rsidR="006761B6" w:rsidRPr="001E493A">
              <w:rPr>
                <w:rFonts w:asciiTheme="majorBidi" w:hAnsiTheme="majorBidi" w:cstheme="majorBidi"/>
                <w:sz w:val="24"/>
                <w:szCs w:val="24"/>
              </w:rPr>
              <w:t>%</w:t>
            </w:r>
          </w:p>
        </w:tc>
        <w:tc>
          <w:tcPr>
            <w:tcW w:w="356" w:type="pct"/>
          </w:tcPr>
          <w:p w:rsidR="006761B6" w:rsidRPr="001E493A" w:rsidRDefault="006761B6" w:rsidP="00C519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493A">
              <w:rPr>
                <w:rFonts w:asciiTheme="majorBidi" w:hAnsiTheme="majorBidi" w:cstheme="majorBidi"/>
                <w:sz w:val="24"/>
                <w:szCs w:val="24"/>
              </w:rPr>
              <w:t>4</w:t>
            </w:r>
            <w:r w:rsidR="00C519C1">
              <w:rPr>
                <w:rFonts w:asciiTheme="majorBidi" w:hAnsiTheme="majorBidi" w:cstheme="majorBidi"/>
                <w:sz w:val="24"/>
                <w:szCs w:val="24"/>
              </w:rPr>
              <w:t>5</w:t>
            </w:r>
            <w:r w:rsidRPr="001E493A">
              <w:rPr>
                <w:rFonts w:asciiTheme="majorBidi" w:hAnsiTheme="majorBidi" w:cstheme="majorBidi"/>
                <w:sz w:val="24"/>
                <w:szCs w:val="24"/>
              </w:rPr>
              <w:t>%</w:t>
            </w:r>
          </w:p>
        </w:tc>
        <w:tc>
          <w:tcPr>
            <w:tcW w:w="356" w:type="pct"/>
          </w:tcPr>
          <w:p w:rsidR="006761B6" w:rsidRPr="001E493A" w:rsidRDefault="006761B6"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493A">
              <w:rPr>
                <w:rFonts w:asciiTheme="majorBidi" w:hAnsiTheme="majorBidi" w:cstheme="majorBidi"/>
                <w:sz w:val="24"/>
                <w:szCs w:val="24"/>
              </w:rPr>
              <w:t>5</w:t>
            </w:r>
            <w:r w:rsidR="00C519C1">
              <w:rPr>
                <w:rFonts w:asciiTheme="majorBidi" w:hAnsiTheme="majorBidi" w:cstheme="majorBidi"/>
                <w:sz w:val="24"/>
                <w:szCs w:val="24"/>
              </w:rPr>
              <w:t>0</w:t>
            </w:r>
            <w:r w:rsidRPr="001E493A">
              <w:rPr>
                <w:rFonts w:asciiTheme="majorBidi" w:hAnsiTheme="majorBidi" w:cstheme="majorBidi"/>
                <w:sz w:val="24"/>
                <w:szCs w:val="24"/>
              </w:rPr>
              <w:t>%</w:t>
            </w:r>
          </w:p>
        </w:tc>
        <w:tc>
          <w:tcPr>
            <w:tcW w:w="356" w:type="pct"/>
          </w:tcPr>
          <w:p w:rsidR="006761B6" w:rsidRPr="001E493A" w:rsidRDefault="006761B6" w:rsidP="00C519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493A">
              <w:rPr>
                <w:rFonts w:asciiTheme="majorBidi" w:hAnsiTheme="majorBidi" w:cstheme="majorBidi"/>
                <w:sz w:val="24"/>
                <w:szCs w:val="24"/>
              </w:rPr>
              <w:t>5</w:t>
            </w:r>
            <w:r w:rsidR="00C519C1">
              <w:rPr>
                <w:rFonts w:asciiTheme="majorBidi" w:hAnsiTheme="majorBidi" w:cstheme="majorBidi"/>
                <w:sz w:val="24"/>
                <w:szCs w:val="24"/>
              </w:rPr>
              <w:t>5</w:t>
            </w:r>
            <w:r w:rsidRPr="001E493A">
              <w:rPr>
                <w:rFonts w:asciiTheme="majorBidi" w:hAnsiTheme="majorBidi" w:cstheme="majorBidi"/>
                <w:sz w:val="24"/>
                <w:szCs w:val="24"/>
              </w:rPr>
              <w:t>%</w:t>
            </w:r>
          </w:p>
        </w:tc>
        <w:tc>
          <w:tcPr>
            <w:tcW w:w="356" w:type="pct"/>
          </w:tcPr>
          <w:p w:rsidR="006761B6" w:rsidRPr="001E493A" w:rsidRDefault="00C519C1"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60</w:t>
            </w:r>
            <w:r w:rsidR="006761B6" w:rsidRPr="001E493A">
              <w:rPr>
                <w:rFonts w:asciiTheme="majorBidi" w:hAnsiTheme="majorBidi" w:cstheme="majorBidi"/>
                <w:sz w:val="24"/>
                <w:szCs w:val="24"/>
              </w:rPr>
              <w:t>%</w:t>
            </w:r>
          </w:p>
        </w:tc>
        <w:tc>
          <w:tcPr>
            <w:tcW w:w="356" w:type="pct"/>
          </w:tcPr>
          <w:p w:rsidR="006761B6" w:rsidRPr="001E493A" w:rsidRDefault="00C519C1" w:rsidP="006761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w:t>
            </w:r>
            <w:r w:rsidR="006761B6" w:rsidRPr="001E493A">
              <w:rPr>
                <w:rFonts w:asciiTheme="majorBidi" w:hAnsiTheme="majorBidi" w:cstheme="majorBidi"/>
                <w:sz w:val="24"/>
                <w:szCs w:val="24"/>
              </w:rPr>
              <w:t>0%</w:t>
            </w:r>
          </w:p>
        </w:tc>
      </w:tr>
    </w:tbl>
    <w:p w:rsidR="00D13A38" w:rsidRDefault="00D13A38" w:rsidP="00D13A38">
      <w:pPr>
        <w:jc w:val="both"/>
        <w:rPr>
          <w:rFonts w:asciiTheme="majorBidi" w:hAnsiTheme="majorBidi" w:cstheme="majorBidi"/>
          <w:sz w:val="24"/>
          <w:szCs w:val="24"/>
        </w:rPr>
      </w:pPr>
    </w:p>
    <w:p w:rsidR="00FD4610" w:rsidRDefault="00FD4610" w:rsidP="007F19BA">
      <w:pPr>
        <w:pStyle w:val="Paragraphedeliste"/>
        <w:numPr>
          <w:ilvl w:val="0"/>
          <w:numId w:val="7"/>
        </w:numPr>
        <w:jc w:val="both"/>
        <w:rPr>
          <w:rFonts w:asciiTheme="majorBidi" w:hAnsiTheme="majorBidi" w:cstheme="majorBidi"/>
          <w:sz w:val="24"/>
          <w:szCs w:val="24"/>
        </w:rPr>
      </w:pPr>
      <w:r w:rsidRPr="00FD4610">
        <w:rPr>
          <w:rFonts w:asciiTheme="majorBidi" w:hAnsiTheme="majorBidi" w:cstheme="majorBidi"/>
          <w:sz w:val="24"/>
          <w:szCs w:val="24"/>
        </w:rPr>
        <w:t xml:space="preserve">Par ailleurs, il est utile de </w:t>
      </w:r>
      <w:r w:rsidRPr="00BF7D29">
        <w:rPr>
          <w:rFonts w:asciiTheme="majorBidi" w:hAnsiTheme="majorBidi" w:cstheme="majorBidi"/>
          <w:b/>
          <w:sz w:val="24"/>
          <w:szCs w:val="24"/>
        </w:rPr>
        <w:t>développer un outil</w:t>
      </w:r>
      <w:r w:rsidR="007F19BA" w:rsidRPr="00BF7D29">
        <w:rPr>
          <w:rFonts w:asciiTheme="majorBidi" w:hAnsiTheme="majorBidi" w:cstheme="majorBidi"/>
          <w:b/>
          <w:sz w:val="24"/>
          <w:szCs w:val="24"/>
        </w:rPr>
        <w:t xml:space="preserve"> dénommé</w:t>
      </w:r>
      <w:r w:rsidR="007F19BA">
        <w:rPr>
          <w:rFonts w:asciiTheme="majorBidi" w:hAnsiTheme="majorBidi" w:cstheme="majorBidi"/>
          <w:sz w:val="24"/>
          <w:szCs w:val="24"/>
        </w:rPr>
        <w:t xml:space="preserve"> </w:t>
      </w:r>
      <w:proofErr w:type="spellStart"/>
      <w:r w:rsidR="007F19BA" w:rsidRPr="001E7B20">
        <w:rPr>
          <w:rFonts w:asciiTheme="majorBidi" w:hAnsiTheme="majorBidi" w:cstheme="majorBidi"/>
          <w:b/>
          <w:sz w:val="24"/>
          <w:szCs w:val="24"/>
        </w:rPr>
        <w:t>EquiSoft</w:t>
      </w:r>
      <w:proofErr w:type="spellEnd"/>
      <w:r w:rsidR="007F19BA">
        <w:rPr>
          <w:rFonts w:asciiTheme="majorBidi" w:hAnsiTheme="majorBidi" w:cstheme="majorBidi"/>
          <w:sz w:val="24"/>
          <w:szCs w:val="24"/>
        </w:rPr>
        <w:t>,</w:t>
      </w:r>
      <w:r w:rsidRPr="00FD4610">
        <w:rPr>
          <w:rFonts w:asciiTheme="majorBidi" w:hAnsiTheme="majorBidi" w:cstheme="majorBidi"/>
          <w:sz w:val="24"/>
          <w:szCs w:val="24"/>
        </w:rPr>
        <w:t xml:space="preserve"> </w:t>
      </w:r>
      <w:r w:rsidR="007F19BA">
        <w:rPr>
          <w:rFonts w:asciiTheme="majorBidi" w:hAnsiTheme="majorBidi" w:cstheme="majorBidi"/>
          <w:sz w:val="24"/>
          <w:szCs w:val="24"/>
        </w:rPr>
        <w:t xml:space="preserve">qui </w:t>
      </w:r>
      <w:r w:rsidRPr="00FD4610">
        <w:rPr>
          <w:rFonts w:asciiTheme="majorBidi" w:hAnsiTheme="majorBidi" w:cstheme="majorBidi"/>
          <w:sz w:val="24"/>
          <w:szCs w:val="24"/>
        </w:rPr>
        <w:t>permett</w:t>
      </w:r>
      <w:r w:rsidR="007F19BA">
        <w:rPr>
          <w:rFonts w:asciiTheme="majorBidi" w:hAnsiTheme="majorBidi" w:cstheme="majorBidi"/>
          <w:sz w:val="24"/>
          <w:szCs w:val="24"/>
        </w:rPr>
        <w:t>r</w:t>
      </w:r>
      <w:r w:rsidRPr="00FD4610">
        <w:rPr>
          <w:rFonts w:asciiTheme="majorBidi" w:hAnsiTheme="majorBidi" w:cstheme="majorBidi"/>
          <w:sz w:val="24"/>
          <w:szCs w:val="24"/>
        </w:rPr>
        <w:t>a de visualiser les résultats de la modélisation</w:t>
      </w:r>
      <w:r w:rsidR="007F19BA">
        <w:rPr>
          <w:rFonts w:asciiTheme="majorBidi" w:hAnsiTheme="majorBidi" w:cstheme="majorBidi"/>
          <w:sz w:val="24"/>
          <w:szCs w:val="24"/>
        </w:rPr>
        <w:t xml:space="preserve"> de l’IRE</w:t>
      </w:r>
      <w:r w:rsidRPr="00FD4610">
        <w:rPr>
          <w:rFonts w:asciiTheme="majorBidi" w:hAnsiTheme="majorBidi" w:cstheme="majorBidi"/>
          <w:sz w:val="24"/>
          <w:szCs w:val="24"/>
        </w:rPr>
        <w:t xml:space="preserve"> de manière conviviale et dynamique. L</w:t>
      </w:r>
      <w:r w:rsidR="00C40095">
        <w:rPr>
          <w:rFonts w:asciiTheme="majorBidi" w:hAnsiTheme="majorBidi" w:cstheme="majorBidi"/>
          <w:sz w:val="24"/>
          <w:szCs w:val="24"/>
        </w:rPr>
        <w:t xml:space="preserve">e cabinet ICJ-Cameroun pourra développer cet </w:t>
      </w:r>
      <w:r w:rsidRPr="00FD4610">
        <w:rPr>
          <w:rFonts w:asciiTheme="majorBidi" w:hAnsiTheme="majorBidi" w:cstheme="majorBidi"/>
          <w:sz w:val="24"/>
          <w:szCs w:val="24"/>
        </w:rPr>
        <w:t>outil</w:t>
      </w:r>
      <w:r>
        <w:rPr>
          <w:rFonts w:asciiTheme="majorBidi" w:hAnsiTheme="majorBidi" w:cstheme="majorBidi"/>
          <w:sz w:val="24"/>
          <w:szCs w:val="24"/>
        </w:rPr>
        <w:t xml:space="preserve"> </w:t>
      </w:r>
      <w:r w:rsidRPr="00922992">
        <w:rPr>
          <w:rFonts w:asciiTheme="majorBidi" w:hAnsiTheme="majorBidi" w:cstheme="majorBidi"/>
          <w:bCs/>
          <w:sz w:val="24"/>
          <w:szCs w:val="24"/>
        </w:rPr>
        <w:t>sur</w:t>
      </w:r>
      <w:r>
        <w:rPr>
          <w:rFonts w:asciiTheme="majorBidi" w:hAnsiTheme="majorBidi" w:cstheme="majorBidi"/>
          <w:bCs/>
          <w:sz w:val="24"/>
          <w:szCs w:val="24"/>
        </w:rPr>
        <w:t xml:space="preserve"> </w:t>
      </w:r>
      <w:r w:rsidRPr="00922992">
        <w:rPr>
          <w:rFonts w:asciiTheme="majorBidi" w:hAnsiTheme="majorBidi" w:cstheme="majorBidi"/>
          <w:bCs/>
          <w:sz w:val="24"/>
          <w:szCs w:val="24"/>
        </w:rPr>
        <w:t>Excel</w:t>
      </w:r>
      <w:r>
        <w:rPr>
          <w:rFonts w:asciiTheme="majorBidi" w:hAnsiTheme="majorBidi" w:cstheme="majorBidi"/>
          <w:bCs/>
          <w:sz w:val="24"/>
          <w:szCs w:val="24"/>
        </w:rPr>
        <w:t xml:space="preserve"> à l’aide de la </w:t>
      </w:r>
      <w:r w:rsidRPr="00922992">
        <w:rPr>
          <w:rFonts w:asciiTheme="majorBidi" w:hAnsiTheme="majorBidi" w:cstheme="majorBidi"/>
          <w:bCs/>
          <w:sz w:val="24"/>
          <w:szCs w:val="24"/>
        </w:rPr>
        <w:t>technologie VBA</w:t>
      </w:r>
      <w:r w:rsidR="006945AC">
        <w:rPr>
          <w:rFonts w:asciiTheme="majorBidi" w:hAnsiTheme="majorBidi" w:cstheme="majorBidi"/>
          <w:bCs/>
          <w:sz w:val="24"/>
          <w:szCs w:val="24"/>
        </w:rPr>
        <w:t xml:space="preserve"> (Visual Basic Application)</w:t>
      </w:r>
      <w:r>
        <w:rPr>
          <w:rFonts w:asciiTheme="majorBidi" w:hAnsiTheme="majorBidi" w:cstheme="majorBidi"/>
          <w:bCs/>
          <w:sz w:val="24"/>
          <w:szCs w:val="24"/>
        </w:rPr>
        <w:t xml:space="preserve">. La souplesse de l’outil </w:t>
      </w:r>
      <w:r w:rsidRPr="00FD4610">
        <w:rPr>
          <w:rFonts w:asciiTheme="majorBidi" w:hAnsiTheme="majorBidi" w:cstheme="majorBidi"/>
          <w:sz w:val="24"/>
          <w:szCs w:val="24"/>
        </w:rPr>
        <w:t>permet</w:t>
      </w:r>
      <w:r w:rsidR="007F2160">
        <w:rPr>
          <w:rFonts w:asciiTheme="majorBidi" w:hAnsiTheme="majorBidi" w:cstheme="majorBidi"/>
          <w:sz w:val="24"/>
          <w:szCs w:val="24"/>
        </w:rPr>
        <w:t>tra</w:t>
      </w:r>
      <w:r w:rsidRPr="00FD4610">
        <w:rPr>
          <w:rFonts w:asciiTheme="majorBidi" w:hAnsiTheme="majorBidi" w:cstheme="majorBidi"/>
          <w:sz w:val="24"/>
          <w:szCs w:val="24"/>
        </w:rPr>
        <w:t xml:space="preserve"> </w:t>
      </w:r>
      <w:r>
        <w:rPr>
          <w:rFonts w:asciiTheme="majorBidi" w:hAnsiTheme="majorBidi" w:cstheme="majorBidi"/>
          <w:sz w:val="24"/>
          <w:szCs w:val="24"/>
        </w:rPr>
        <w:t xml:space="preserve">de réduire </w:t>
      </w:r>
      <w:r w:rsidRPr="00FD4610">
        <w:rPr>
          <w:rFonts w:asciiTheme="majorBidi" w:hAnsiTheme="majorBidi" w:cstheme="majorBidi"/>
          <w:sz w:val="24"/>
          <w:szCs w:val="24"/>
        </w:rPr>
        <w:t>progressive</w:t>
      </w:r>
      <w:r>
        <w:rPr>
          <w:rFonts w:asciiTheme="majorBidi" w:hAnsiTheme="majorBidi" w:cstheme="majorBidi"/>
          <w:sz w:val="24"/>
          <w:szCs w:val="24"/>
        </w:rPr>
        <w:t>ment</w:t>
      </w:r>
      <w:r w:rsidRPr="00FD4610">
        <w:rPr>
          <w:rFonts w:asciiTheme="majorBidi" w:hAnsiTheme="majorBidi" w:cstheme="majorBidi"/>
          <w:sz w:val="24"/>
          <w:szCs w:val="24"/>
        </w:rPr>
        <w:t xml:space="preserve"> </w:t>
      </w:r>
      <w:r>
        <w:rPr>
          <w:rFonts w:asciiTheme="majorBidi" w:hAnsiTheme="majorBidi" w:cstheme="majorBidi"/>
          <w:sz w:val="24"/>
          <w:szCs w:val="24"/>
        </w:rPr>
        <w:t xml:space="preserve">les </w:t>
      </w:r>
      <w:r w:rsidRPr="00FD4610">
        <w:rPr>
          <w:rFonts w:asciiTheme="majorBidi" w:hAnsiTheme="majorBidi" w:cstheme="majorBidi"/>
          <w:sz w:val="24"/>
          <w:szCs w:val="24"/>
        </w:rPr>
        <w:t>inégalités spatiales entre les communes.</w:t>
      </w:r>
      <w:r>
        <w:rPr>
          <w:rFonts w:asciiTheme="majorBidi" w:hAnsiTheme="majorBidi" w:cstheme="majorBidi"/>
          <w:sz w:val="24"/>
          <w:szCs w:val="24"/>
        </w:rPr>
        <w:t xml:space="preserve"> Ainsi, l’on pourra fixer un objectif</w:t>
      </w:r>
      <w:r w:rsidR="007F19BA">
        <w:rPr>
          <w:rFonts w:asciiTheme="majorBidi" w:hAnsiTheme="majorBidi" w:cstheme="majorBidi"/>
          <w:sz w:val="24"/>
          <w:szCs w:val="24"/>
        </w:rPr>
        <w:t xml:space="preserve"> d’IRE</w:t>
      </w:r>
      <w:r>
        <w:rPr>
          <w:rFonts w:asciiTheme="majorBidi" w:hAnsiTheme="majorBidi" w:cstheme="majorBidi"/>
          <w:sz w:val="24"/>
          <w:szCs w:val="24"/>
        </w:rPr>
        <w:t xml:space="preserve"> de 30% et obtenir l’en</w:t>
      </w:r>
      <w:r w:rsidR="00EB51B6">
        <w:rPr>
          <w:rFonts w:asciiTheme="majorBidi" w:hAnsiTheme="majorBidi" w:cstheme="majorBidi"/>
          <w:sz w:val="24"/>
          <w:szCs w:val="24"/>
        </w:rPr>
        <w:t>veloppe budgétaire permettant de l’atteindre</w:t>
      </w:r>
      <w:r>
        <w:rPr>
          <w:rFonts w:asciiTheme="majorBidi" w:hAnsiTheme="majorBidi" w:cstheme="majorBidi"/>
          <w:sz w:val="24"/>
          <w:szCs w:val="24"/>
        </w:rPr>
        <w:t xml:space="preserve">, </w:t>
      </w:r>
      <w:r w:rsidR="00CB0B4F">
        <w:rPr>
          <w:rFonts w:asciiTheme="majorBidi" w:hAnsiTheme="majorBidi" w:cstheme="majorBidi"/>
          <w:sz w:val="24"/>
          <w:szCs w:val="24"/>
        </w:rPr>
        <w:t xml:space="preserve">ainsi que </w:t>
      </w:r>
      <w:r>
        <w:rPr>
          <w:rFonts w:asciiTheme="majorBidi" w:hAnsiTheme="majorBidi" w:cstheme="majorBidi"/>
          <w:sz w:val="24"/>
          <w:szCs w:val="24"/>
        </w:rPr>
        <w:t>la répartition de cette dotation d’ajustement entre les communes</w:t>
      </w:r>
      <w:r w:rsidR="00020261">
        <w:rPr>
          <w:rFonts w:asciiTheme="majorBidi" w:hAnsiTheme="majorBidi" w:cstheme="majorBidi"/>
          <w:sz w:val="24"/>
          <w:szCs w:val="24"/>
        </w:rPr>
        <w:t xml:space="preserve"> les plus défavorisées</w:t>
      </w:r>
      <w:r>
        <w:rPr>
          <w:rFonts w:asciiTheme="majorBidi" w:hAnsiTheme="majorBidi" w:cstheme="majorBidi"/>
          <w:sz w:val="24"/>
          <w:szCs w:val="24"/>
        </w:rPr>
        <w:t>. Inversement, il sera possible de fixer l’enveloppe disponible</w:t>
      </w:r>
      <w:r w:rsidR="00CB0B4F">
        <w:rPr>
          <w:rFonts w:asciiTheme="majorBidi" w:hAnsiTheme="majorBidi" w:cstheme="majorBidi"/>
          <w:sz w:val="24"/>
          <w:szCs w:val="24"/>
        </w:rPr>
        <w:t xml:space="preserve"> pour la péréquation</w:t>
      </w:r>
      <w:r w:rsidR="007F19BA">
        <w:rPr>
          <w:rFonts w:asciiTheme="majorBidi" w:hAnsiTheme="majorBidi" w:cstheme="majorBidi"/>
          <w:sz w:val="24"/>
          <w:szCs w:val="24"/>
        </w:rPr>
        <w:t xml:space="preserve"> et simuler</w:t>
      </w:r>
      <w:r>
        <w:rPr>
          <w:rFonts w:asciiTheme="majorBidi" w:hAnsiTheme="majorBidi" w:cstheme="majorBidi"/>
          <w:sz w:val="24"/>
          <w:szCs w:val="24"/>
        </w:rPr>
        <w:t xml:space="preserve"> l’amélioration induite sur le taux de répartition</w:t>
      </w:r>
      <w:r w:rsidR="007F19BA">
        <w:rPr>
          <w:rFonts w:asciiTheme="majorBidi" w:hAnsiTheme="majorBidi" w:cstheme="majorBidi"/>
          <w:sz w:val="24"/>
          <w:szCs w:val="24"/>
        </w:rPr>
        <w:t xml:space="preserve"> équitable</w:t>
      </w:r>
      <w:r>
        <w:rPr>
          <w:rFonts w:asciiTheme="majorBidi" w:hAnsiTheme="majorBidi" w:cstheme="majorBidi"/>
          <w:sz w:val="24"/>
          <w:szCs w:val="24"/>
        </w:rPr>
        <w:t xml:space="preserve">. </w:t>
      </w:r>
      <w:r w:rsidRPr="00FD4610">
        <w:rPr>
          <w:rFonts w:asciiTheme="majorBidi" w:hAnsiTheme="majorBidi" w:cstheme="majorBidi"/>
          <w:sz w:val="24"/>
          <w:szCs w:val="24"/>
        </w:rPr>
        <w:t xml:space="preserve">  </w:t>
      </w:r>
    </w:p>
    <w:p w:rsidR="007F19BA" w:rsidRPr="007F19BA" w:rsidRDefault="007F19BA" w:rsidP="007F19BA">
      <w:pPr>
        <w:pStyle w:val="Paragraphedeliste"/>
        <w:numPr>
          <w:ilvl w:val="0"/>
          <w:numId w:val="7"/>
        </w:numPr>
        <w:jc w:val="both"/>
        <w:rPr>
          <w:rFonts w:asciiTheme="majorBidi" w:hAnsiTheme="majorBidi" w:cstheme="majorBidi"/>
          <w:sz w:val="24"/>
          <w:szCs w:val="24"/>
        </w:rPr>
      </w:pPr>
      <w:r>
        <w:rPr>
          <w:rFonts w:asciiTheme="majorBidi" w:hAnsiTheme="majorBidi" w:cstheme="majorBidi"/>
          <w:sz w:val="24"/>
          <w:szCs w:val="24"/>
        </w:rPr>
        <w:lastRenderedPageBreak/>
        <w:t>Les arbitrages budgétaires opérés sur la base</w:t>
      </w:r>
      <w:r w:rsidR="009500B8">
        <w:rPr>
          <w:rFonts w:asciiTheme="majorBidi" w:hAnsiTheme="majorBidi" w:cstheme="majorBidi"/>
          <w:sz w:val="24"/>
          <w:szCs w:val="24"/>
        </w:rPr>
        <w:t xml:space="preserve"> de cet outil d’aide à la décision pourront se déployer dans un cadre institutionnel adapté. Ainsi, l’organisation</w:t>
      </w:r>
      <w:r w:rsidR="002B090D">
        <w:rPr>
          <w:rFonts w:asciiTheme="majorBidi" w:hAnsiTheme="majorBidi" w:cstheme="majorBidi"/>
          <w:sz w:val="24"/>
          <w:szCs w:val="24"/>
        </w:rPr>
        <w:t xml:space="preserve"> chaque année</w:t>
      </w:r>
      <w:r w:rsidR="009500B8">
        <w:rPr>
          <w:rFonts w:asciiTheme="majorBidi" w:hAnsiTheme="majorBidi" w:cstheme="majorBidi"/>
          <w:sz w:val="24"/>
          <w:szCs w:val="24"/>
        </w:rPr>
        <w:t xml:space="preserve"> d’une </w:t>
      </w:r>
      <w:r w:rsidR="009500B8" w:rsidRPr="00E32DD4">
        <w:rPr>
          <w:rFonts w:asciiTheme="majorBidi" w:hAnsiTheme="majorBidi" w:cstheme="majorBidi"/>
          <w:b/>
          <w:sz w:val="24"/>
          <w:szCs w:val="24"/>
        </w:rPr>
        <w:t>Conférence de Péréquations Budgétaires</w:t>
      </w:r>
      <w:r w:rsidR="00E32DD4" w:rsidRPr="00E32DD4">
        <w:rPr>
          <w:rFonts w:asciiTheme="majorBidi" w:hAnsiTheme="majorBidi" w:cstheme="majorBidi"/>
          <w:b/>
          <w:sz w:val="24"/>
          <w:szCs w:val="24"/>
        </w:rPr>
        <w:t xml:space="preserve"> (CPB)</w:t>
      </w:r>
      <w:r w:rsidR="009500B8">
        <w:rPr>
          <w:rFonts w:asciiTheme="majorBidi" w:hAnsiTheme="majorBidi" w:cstheme="majorBidi"/>
          <w:sz w:val="24"/>
          <w:szCs w:val="24"/>
        </w:rPr>
        <w:t xml:space="preserve"> permettra de réunir les acteurs du BIP afin de peaufiner les derniers réglages liés à la répartition spatiale</w:t>
      </w:r>
      <w:r w:rsidR="001F715A">
        <w:rPr>
          <w:rFonts w:asciiTheme="majorBidi" w:hAnsiTheme="majorBidi" w:cstheme="majorBidi"/>
          <w:sz w:val="24"/>
          <w:szCs w:val="24"/>
        </w:rPr>
        <w:t xml:space="preserve"> des ressources du BIP</w:t>
      </w:r>
      <w:r w:rsidR="009500B8">
        <w:rPr>
          <w:rFonts w:asciiTheme="majorBidi" w:hAnsiTheme="majorBidi" w:cstheme="majorBidi"/>
          <w:sz w:val="24"/>
          <w:szCs w:val="24"/>
        </w:rPr>
        <w:t xml:space="preserve"> avant la publication du Journal des Projets. </w:t>
      </w:r>
      <w:r w:rsidR="00617598">
        <w:rPr>
          <w:rFonts w:asciiTheme="majorBidi" w:hAnsiTheme="majorBidi" w:cstheme="majorBidi"/>
          <w:sz w:val="24"/>
          <w:szCs w:val="24"/>
        </w:rPr>
        <w:t xml:space="preserve">Cette conférence permettra également d’inviter les représentants administratifs et financiers des 30 communes les plus vulnérables bénéficiaires des arbitrages, afin de les outiller sur la </w:t>
      </w:r>
      <w:r w:rsidR="001C2F4D">
        <w:rPr>
          <w:rFonts w:asciiTheme="majorBidi" w:hAnsiTheme="majorBidi" w:cstheme="majorBidi"/>
          <w:sz w:val="24"/>
          <w:szCs w:val="24"/>
        </w:rPr>
        <w:t xml:space="preserve">maturation et la </w:t>
      </w:r>
      <w:r w:rsidR="00617598">
        <w:rPr>
          <w:rFonts w:asciiTheme="majorBidi" w:hAnsiTheme="majorBidi" w:cstheme="majorBidi"/>
          <w:sz w:val="24"/>
          <w:szCs w:val="24"/>
        </w:rPr>
        <w:t xml:space="preserve">gestion des projets du BIP. </w:t>
      </w:r>
    </w:p>
    <w:p w:rsidR="00FA0A53" w:rsidRDefault="001D5D53" w:rsidP="00FD4610">
      <w:pPr>
        <w:pStyle w:val="Paragraphedeliste"/>
        <w:numPr>
          <w:ilvl w:val="0"/>
          <w:numId w:val="7"/>
        </w:numPr>
        <w:jc w:val="both"/>
        <w:rPr>
          <w:rFonts w:asciiTheme="majorBidi" w:hAnsiTheme="majorBidi" w:cstheme="majorBidi"/>
          <w:sz w:val="24"/>
          <w:szCs w:val="24"/>
        </w:rPr>
      </w:pPr>
      <w:r w:rsidRPr="00FA0A53">
        <w:rPr>
          <w:rFonts w:asciiTheme="majorBidi" w:hAnsiTheme="majorBidi" w:cstheme="majorBidi"/>
          <w:sz w:val="24"/>
          <w:szCs w:val="24"/>
        </w:rPr>
        <w:t>Afin d’enric</w:t>
      </w:r>
      <w:r w:rsidR="0063047B" w:rsidRPr="00FA0A53">
        <w:rPr>
          <w:rFonts w:asciiTheme="majorBidi" w:hAnsiTheme="majorBidi" w:cstheme="majorBidi"/>
          <w:sz w:val="24"/>
          <w:szCs w:val="24"/>
        </w:rPr>
        <w:t>hir les résultats de cette analyse</w:t>
      </w:r>
      <w:r w:rsidRPr="00FA0A53">
        <w:rPr>
          <w:rFonts w:asciiTheme="majorBidi" w:hAnsiTheme="majorBidi" w:cstheme="majorBidi"/>
          <w:sz w:val="24"/>
          <w:szCs w:val="24"/>
        </w:rPr>
        <w:t>, il est nécessaire</w:t>
      </w:r>
      <w:r w:rsidR="0063047B" w:rsidRPr="00FA0A53">
        <w:rPr>
          <w:rFonts w:asciiTheme="majorBidi" w:hAnsiTheme="majorBidi" w:cstheme="majorBidi"/>
          <w:sz w:val="24"/>
          <w:szCs w:val="24"/>
        </w:rPr>
        <w:t xml:space="preserve"> de prévoir</w:t>
      </w:r>
      <w:r w:rsidR="00CF78E9">
        <w:rPr>
          <w:rFonts w:asciiTheme="majorBidi" w:hAnsiTheme="majorBidi" w:cstheme="majorBidi"/>
          <w:sz w:val="24"/>
          <w:szCs w:val="24"/>
        </w:rPr>
        <w:t xml:space="preserve"> </w:t>
      </w:r>
      <w:r w:rsidR="00CF78E9" w:rsidRPr="00EA70A3">
        <w:rPr>
          <w:rFonts w:asciiTheme="majorBidi" w:hAnsiTheme="majorBidi" w:cstheme="majorBidi"/>
          <w:b/>
          <w:sz w:val="24"/>
          <w:szCs w:val="24"/>
        </w:rPr>
        <w:t>la réalisation d’une étude</w:t>
      </w:r>
      <w:r w:rsidR="00CF78E9">
        <w:rPr>
          <w:rFonts w:asciiTheme="majorBidi" w:hAnsiTheme="majorBidi" w:cstheme="majorBidi"/>
          <w:sz w:val="24"/>
          <w:szCs w:val="24"/>
        </w:rPr>
        <w:t xml:space="preserve"> en vue</w:t>
      </w:r>
      <w:r w:rsidRPr="00FA0A53">
        <w:rPr>
          <w:rFonts w:asciiTheme="majorBidi" w:hAnsiTheme="majorBidi" w:cstheme="majorBidi"/>
          <w:sz w:val="24"/>
          <w:szCs w:val="24"/>
        </w:rPr>
        <w:t xml:space="preserve"> de prendre e</w:t>
      </w:r>
      <w:r w:rsidR="00A33795" w:rsidRPr="00FA0A53">
        <w:rPr>
          <w:rFonts w:asciiTheme="majorBidi" w:hAnsiTheme="majorBidi" w:cstheme="majorBidi"/>
          <w:sz w:val="24"/>
          <w:szCs w:val="24"/>
        </w:rPr>
        <w:t xml:space="preserve">n compte les infrastructures réalisées par </w:t>
      </w:r>
      <w:r w:rsidRPr="00FA0A53">
        <w:rPr>
          <w:rFonts w:asciiTheme="majorBidi" w:hAnsiTheme="majorBidi" w:cstheme="majorBidi"/>
          <w:sz w:val="24"/>
          <w:szCs w:val="24"/>
        </w:rPr>
        <w:t>les communes</w:t>
      </w:r>
      <w:r w:rsidR="00A33795" w:rsidRPr="00FA0A53">
        <w:rPr>
          <w:rFonts w:asciiTheme="majorBidi" w:hAnsiTheme="majorBidi" w:cstheme="majorBidi"/>
          <w:sz w:val="24"/>
          <w:szCs w:val="24"/>
        </w:rPr>
        <w:t xml:space="preserve"> par d’autres sources de financement</w:t>
      </w:r>
      <w:r w:rsidRPr="00FA0A53">
        <w:rPr>
          <w:rFonts w:asciiTheme="majorBidi" w:hAnsiTheme="majorBidi" w:cstheme="majorBidi"/>
          <w:sz w:val="24"/>
          <w:szCs w:val="24"/>
        </w:rPr>
        <w:t xml:space="preserve"> (hormis le BIP)</w:t>
      </w:r>
      <w:r w:rsidR="00A33795" w:rsidRPr="00FA0A53">
        <w:rPr>
          <w:rFonts w:asciiTheme="majorBidi" w:hAnsiTheme="majorBidi" w:cstheme="majorBidi"/>
          <w:sz w:val="24"/>
          <w:szCs w:val="24"/>
        </w:rPr>
        <w:t>.</w:t>
      </w:r>
      <w:r w:rsidR="00BF7D29">
        <w:rPr>
          <w:rFonts w:asciiTheme="majorBidi" w:hAnsiTheme="majorBidi" w:cstheme="majorBidi"/>
          <w:sz w:val="24"/>
          <w:szCs w:val="24"/>
        </w:rPr>
        <w:t xml:space="preserve"> En effet, une collectivité</w:t>
      </w:r>
      <w:r w:rsidR="00226FEC">
        <w:rPr>
          <w:rFonts w:asciiTheme="majorBidi" w:hAnsiTheme="majorBidi" w:cstheme="majorBidi"/>
          <w:sz w:val="24"/>
          <w:szCs w:val="24"/>
        </w:rPr>
        <w:t xml:space="preserve"> qui reçoit des financement</w:t>
      </w:r>
      <w:r w:rsidR="00971D79">
        <w:rPr>
          <w:rFonts w:asciiTheme="majorBidi" w:hAnsiTheme="majorBidi" w:cstheme="majorBidi"/>
          <w:sz w:val="24"/>
          <w:szCs w:val="24"/>
        </w:rPr>
        <w:t>s</w:t>
      </w:r>
      <w:r w:rsidR="00226FEC">
        <w:rPr>
          <w:rFonts w:asciiTheme="majorBidi" w:hAnsiTheme="majorBidi" w:cstheme="majorBidi"/>
          <w:sz w:val="24"/>
          <w:szCs w:val="24"/>
        </w:rPr>
        <w:t xml:space="preserve"> à partir d’un réseau de communes n’est pas aussi vulnérable qu’une commune qui n’en reçoit pas.</w:t>
      </w:r>
      <w:r w:rsidR="00A33795" w:rsidRPr="00FA0A53">
        <w:rPr>
          <w:rFonts w:asciiTheme="majorBidi" w:hAnsiTheme="majorBidi" w:cstheme="majorBidi"/>
          <w:sz w:val="24"/>
          <w:szCs w:val="24"/>
        </w:rPr>
        <w:t xml:space="preserve"> </w:t>
      </w:r>
      <w:r w:rsidR="00A844D4" w:rsidRPr="00FA0A53">
        <w:rPr>
          <w:rFonts w:asciiTheme="majorBidi" w:hAnsiTheme="majorBidi" w:cstheme="majorBidi"/>
          <w:sz w:val="24"/>
          <w:szCs w:val="24"/>
        </w:rPr>
        <w:t>Parmi les autres sources de financement, on peut ci</w:t>
      </w:r>
      <w:r w:rsidR="00B75796">
        <w:rPr>
          <w:rFonts w:asciiTheme="majorBidi" w:hAnsiTheme="majorBidi" w:cstheme="majorBidi"/>
          <w:sz w:val="24"/>
          <w:szCs w:val="24"/>
        </w:rPr>
        <w:t>ter les ressources propres des</w:t>
      </w:r>
      <w:r w:rsidR="00A844D4" w:rsidRPr="00FA0A53">
        <w:rPr>
          <w:rFonts w:asciiTheme="majorBidi" w:hAnsiTheme="majorBidi" w:cstheme="majorBidi"/>
          <w:sz w:val="24"/>
          <w:szCs w:val="24"/>
        </w:rPr>
        <w:t xml:space="preserve"> commune</w:t>
      </w:r>
      <w:r w:rsidR="00B75796">
        <w:rPr>
          <w:rFonts w:asciiTheme="majorBidi" w:hAnsiTheme="majorBidi" w:cstheme="majorBidi"/>
          <w:sz w:val="24"/>
          <w:szCs w:val="24"/>
        </w:rPr>
        <w:t>s</w:t>
      </w:r>
      <w:r w:rsidR="00A844D4" w:rsidRPr="00FA0A53">
        <w:rPr>
          <w:rFonts w:asciiTheme="majorBidi" w:hAnsiTheme="majorBidi" w:cstheme="majorBidi"/>
          <w:sz w:val="24"/>
          <w:szCs w:val="24"/>
        </w:rPr>
        <w:t>, les subventions d’investissement auxquelles les communes sont éligibles, ainsi que les fonds issus de la coopération décentralisée et autres appuis des ONG.</w:t>
      </w:r>
      <w:r w:rsidR="00AD0186" w:rsidRPr="00FA0A53">
        <w:rPr>
          <w:rFonts w:asciiTheme="majorBidi" w:hAnsiTheme="majorBidi" w:cstheme="majorBidi"/>
          <w:sz w:val="24"/>
          <w:szCs w:val="24"/>
        </w:rPr>
        <w:t xml:space="preserve"> </w:t>
      </w:r>
      <w:r w:rsidR="00671B0D">
        <w:rPr>
          <w:rFonts w:asciiTheme="majorBidi" w:hAnsiTheme="majorBidi" w:cstheme="majorBidi"/>
          <w:sz w:val="24"/>
          <w:szCs w:val="24"/>
        </w:rPr>
        <w:t>A cet effet, l</w:t>
      </w:r>
      <w:r w:rsidR="00AD0186" w:rsidRPr="00FA0A53">
        <w:rPr>
          <w:rFonts w:asciiTheme="majorBidi" w:hAnsiTheme="majorBidi" w:cstheme="majorBidi"/>
          <w:sz w:val="24"/>
          <w:szCs w:val="24"/>
        </w:rPr>
        <w:t xml:space="preserve">es données budgétaires consignées dans les comptes </w:t>
      </w:r>
      <w:r w:rsidR="00671B0D">
        <w:rPr>
          <w:rFonts w:asciiTheme="majorBidi" w:hAnsiTheme="majorBidi" w:cstheme="majorBidi"/>
          <w:sz w:val="24"/>
          <w:szCs w:val="24"/>
        </w:rPr>
        <w:t>de gestion des communes fourniront</w:t>
      </w:r>
      <w:r w:rsidR="00AD0186" w:rsidRPr="00FA0A53">
        <w:rPr>
          <w:rFonts w:asciiTheme="majorBidi" w:hAnsiTheme="majorBidi" w:cstheme="majorBidi"/>
          <w:sz w:val="24"/>
          <w:szCs w:val="24"/>
        </w:rPr>
        <w:t xml:space="preserve"> une image plus complète des investissements</w:t>
      </w:r>
      <w:r w:rsidR="00367B8D" w:rsidRPr="00FA0A53">
        <w:rPr>
          <w:rFonts w:asciiTheme="majorBidi" w:hAnsiTheme="majorBidi" w:cstheme="majorBidi"/>
          <w:sz w:val="24"/>
          <w:szCs w:val="24"/>
        </w:rPr>
        <w:t xml:space="preserve"> de développement</w:t>
      </w:r>
      <w:r w:rsidR="00AD0186" w:rsidRPr="00FA0A53">
        <w:rPr>
          <w:rFonts w:asciiTheme="majorBidi" w:hAnsiTheme="majorBidi" w:cstheme="majorBidi"/>
          <w:sz w:val="24"/>
          <w:szCs w:val="24"/>
        </w:rPr>
        <w:t xml:space="preserve"> dans les communes.</w:t>
      </w:r>
      <w:r w:rsidR="00A844D4" w:rsidRPr="00FA0A53">
        <w:rPr>
          <w:rFonts w:asciiTheme="majorBidi" w:hAnsiTheme="majorBidi" w:cstheme="majorBidi"/>
          <w:sz w:val="24"/>
          <w:szCs w:val="24"/>
        </w:rPr>
        <w:t xml:space="preserve"> </w:t>
      </w:r>
    </w:p>
    <w:p w:rsidR="00117EAC" w:rsidRDefault="00117EAC" w:rsidP="00FD4610">
      <w:pPr>
        <w:pStyle w:val="Paragraphedeliste"/>
        <w:numPr>
          <w:ilvl w:val="0"/>
          <w:numId w:val="7"/>
        </w:numPr>
        <w:jc w:val="both"/>
        <w:rPr>
          <w:rFonts w:asciiTheme="majorBidi" w:hAnsiTheme="majorBidi" w:cstheme="majorBidi"/>
          <w:sz w:val="24"/>
          <w:szCs w:val="24"/>
        </w:rPr>
      </w:pPr>
      <w:r>
        <w:rPr>
          <w:rFonts w:asciiTheme="majorBidi" w:hAnsiTheme="majorBidi" w:cstheme="majorBidi"/>
          <w:sz w:val="24"/>
          <w:szCs w:val="24"/>
        </w:rPr>
        <w:t xml:space="preserve">Enfin, il convient de mettre en œuvre un </w:t>
      </w:r>
      <w:r w:rsidRPr="00EA70A3">
        <w:rPr>
          <w:rFonts w:asciiTheme="majorBidi" w:hAnsiTheme="majorBidi" w:cstheme="majorBidi"/>
          <w:b/>
          <w:sz w:val="24"/>
          <w:szCs w:val="24"/>
        </w:rPr>
        <w:t>plan de communication pour la 2</w:t>
      </w:r>
      <w:r w:rsidRPr="00EA70A3">
        <w:rPr>
          <w:rFonts w:asciiTheme="majorBidi" w:hAnsiTheme="majorBidi" w:cstheme="majorBidi"/>
          <w:b/>
          <w:sz w:val="24"/>
          <w:szCs w:val="24"/>
          <w:vertAlign w:val="superscript"/>
        </w:rPr>
        <w:t>ème</w:t>
      </w:r>
      <w:r w:rsidRPr="00EA70A3">
        <w:rPr>
          <w:rFonts w:asciiTheme="majorBidi" w:hAnsiTheme="majorBidi" w:cstheme="majorBidi"/>
          <w:b/>
          <w:sz w:val="24"/>
          <w:szCs w:val="24"/>
        </w:rPr>
        <w:t xml:space="preserve"> phase de la vision</w:t>
      </w:r>
      <w:r>
        <w:rPr>
          <w:rFonts w:asciiTheme="majorBidi" w:hAnsiTheme="majorBidi" w:cstheme="majorBidi"/>
          <w:sz w:val="24"/>
          <w:szCs w:val="24"/>
        </w:rPr>
        <w:t xml:space="preserve"> afin d’informer les différentes cibles des progrès réalisés dans l’atteinte des objectifs (acteurs institutionnels, grand public, partenaires au développement, chercheurs, etc.)</w:t>
      </w:r>
      <w:r w:rsidR="00F453F3">
        <w:rPr>
          <w:rFonts w:asciiTheme="majorBidi" w:hAnsiTheme="majorBidi" w:cstheme="majorBidi"/>
          <w:sz w:val="24"/>
          <w:szCs w:val="24"/>
        </w:rPr>
        <w:t>.</w:t>
      </w:r>
      <w:r w:rsidR="00A22EF7">
        <w:rPr>
          <w:rFonts w:asciiTheme="majorBidi" w:hAnsiTheme="majorBidi" w:cstheme="majorBidi"/>
          <w:sz w:val="24"/>
          <w:szCs w:val="24"/>
        </w:rPr>
        <w:t xml:space="preserve"> Les out</w:t>
      </w:r>
      <w:r w:rsidR="002B05E1">
        <w:rPr>
          <w:rFonts w:asciiTheme="majorBidi" w:hAnsiTheme="majorBidi" w:cstheme="majorBidi"/>
          <w:sz w:val="24"/>
          <w:szCs w:val="24"/>
        </w:rPr>
        <w:t>ils développés pour la diffusion des encarts statistique</w:t>
      </w:r>
      <w:r w:rsidR="000D79E0">
        <w:rPr>
          <w:rFonts w:asciiTheme="majorBidi" w:hAnsiTheme="majorBidi" w:cstheme="majorBidi"/>
          <w:sz w:val="24"/>
          <w:szCs w:val="24"/>
        </w:rPr>
        <w:t>s</w:t>
      </w:r>
      <w:bookmarkStart w:id="0" w:name="_GoBack"/>
      <w:bookmarkEnd w:id="0"/>
      <w:r w:rsidR="00A22EF7">
        <w:rPr>
          <w:rFonts w:asciiTheme="majorBidi" w:hAnsiTheme="majorBidi" w:cstheme="majorBidi"/>
          <w:sz w:val="24"/>
          <w:szCs w:val="24"/>
        </w:rPr>
        <w:t xml:space="preserve"> sur l</w:t>
      </w:r>
      <w:r w:rsidR="002B05E1">
        <w:rPr>
          <w:rFonts w:asciiTheme="majorBidi" w:hAnsiTheme="majorBidi" w:cstheme="majorBidi"/>
          <w:sz w:val="24"/>
          <w:szCs w:val="24"/>
        </w:rPr>
        <w:t>es indicateurs de l</w:t>
      </w:r>
      <w:r w:rsidR="00A22EF7">
        <w:rPr>
          <w:rFonts w:asciiTheme="majorBidi" w:hAnsiTheme="majorBidi" w:cstheme="majorBidi"/>
          <w:sz w:val="24"/>
          <w:szCs w:val="24"/>
        </w:rPr>
        <w:t>a vision permettront</w:t>
      </w:r>
      <w:r w:rsidR="00FC4DC4">
        <w:rPr>
          <w:rFonts w:asciiTheme="majorBidi" w:hAnsiTheme="majorBidi" w:cstheme="majorBidi"/>
          <w:sz w:val="24"/>
          <w:szCs w:val="24"/>
        </w:rPr>
        <w:t xml:space="preserve"> la valorisation de ces indicateurs de développement et</w:t>
      </w:r>
      <w:r w:rsidR="00A22EF7">
        <w:rPr>
          <w:rFonts w:asciiTheme="majorBidi" w:hAnsiTheme="majorBidi" w:cstheme="majorBidi"/>
          <w:sz w:val="24"/>
          <w:szCs w:val="24"/>
        </w:rPr>
        <w:t xml:space="preserve"> </w:t>
      </w:r>
      <w:r w:rsidR="00FC4DC4">
        <w:rPr>
          <w:rFonts w:asciiTheme="majorBidi" w:hAnsiTheme="majorBidi" w:cstheme="majorBidi"/>
          <w:sz w:val="24"/>
          <w:szCs w:val="24"/>
        </w:rPr>
        <w:t>la</w:t>
      </w:r>
      <w:r w:rsidR="00A22EF7">
        <w:rPr>
          <w:rFonts w:asciiTheme="majorBidi" w:hAnsiTheme="majorBidi" w:cstheme="majorBidi"/>
          <w:sz w:val="24"/>
          <w:szCs w:val="24"/>
        </w:rPr>
        <w:t xml:space="preserve"> produ</w:t>
      </w:r>
      <w:r w:rsidR="00FC4DC4">
        <w:rPr>
          <w:rFonts w:asciiTheme="majorBidi" w:hAnsiTheme="majorBidi" w:cstheme="majorBidi"/>
          <w:sz w:val="24"/>
          <w:szCs w:val="24"/>
        </w:rPr>
        <w:t xml:space="preserve">ction </w:t>
      </w:r>
      <w:r w:rsidR="00A22EF7">
        <w:rPr>
          <w:rFonts w:asciiTheme="majorBidi" w:hAnsiTheme="majorBidi" w:cstheme="majorBidi"/>
          <w:sz w:val="24"/>
          <w:szCs w:val="24"/>
        </w:rPr>
        <w:t xml:space="preserve">de messages spécifiques dans un format adapté aux différentes cibles. </w:t>
      </w:r>
    </w:p>
    <w:p w:rsidR="00FA0A53" w:rsidRPr="00FA0A53" w:rsidRDefault="00FA0A53" w:rsidP="00FA0A53">
      <w:pPr>
        <w:jc w:val="both"/>
        <w:rPr>
          <w:rFonts w:asciiTheme="majorBidi" w:hAnsiTheme="majorBidi" w:cstheme="majorBidi"/>
          <w:sz w:val="24"/>
          <w:szCs w:val="24"/>
        </w:rPr>
      </w:pPr>
    </w:p>
    <w:p w:rsidR="00871F65" w:rsidRDefault="00871F65" w:rsidP="003F1FA3">
      <w:pPr>
        <w:jc w:val="both"/>
        <w:rPr>
          <w:rFonts w:asciiTheme="majorBidi" w:hAnsiTheme="majorBidi" w:cstheme="majorBidi"/>
          <w:sz w:val="24"/>
          <w:szCs w:val="24"/>
        </w:rPr>
      </w:pPr>
    </w:p>
    <w:p w:rsidR="00D21D2B" w:rsidRDefault="00D21D2B" w:rsidP="003F1FA3">
      <w:pPr>
        <w:jc w:val="both"/>
        <w:rPr>
          <w:rFonts w:asciiTheme="majorBidi" w:hAnsiTheme="majorBidi" w:cstheme="majorBidi"/>
          <w:sz w:val="24"/>
          <w:szCs w:val="24"/>
        </w:rPr>
      </w:pPr>
    </w:p>
    <w:p w:rsidR="00F03086" w:rsidRDefault="00F03086" w:rsidP="003F1FA3">
      <w:pPr>
        <w:jc w:val="both"/>
        <w:rPr>
          <w:rFonts w:asciiTheme="majorBidi" w:hAnsiTheme="majorBidi" w:cstheme="majorBidi"/>
          <w:sz w:val="24"/>
          <w:szCs w:val="24"/>
        </w:rPr>
      </w:pPr>
    </w:p>
    <w:p w:rsidR="00B77BA1" w:rsidRDefault="00B77BA1" w:rsidP="003F1FA3">
      <w:pPr>
        <w:jc w:val="both"/>
        <w:rPr>
          <w:rFonts w:asciiTheme="majorBidi" w:hAnsiTheme="majorBidi" w:cstheme="majorBidi"/>
          <w:sz w:val="24"/>
          <w:szCs w:val="24"/>
        </w:rPr>
      </w:pPr>
    </w:p>
    <w:p w:rsidR="00B77BA1" w:rsidRDefault="00B77BA1" w:rsidP="003F1FA3">
      <w:pPr>
        <w:jc w:val="both"/>
        <w:rPr>
          <w:rFonts w:asciiTheme="majorBidi" w:hAnsiTheme="majorBidi" w:cstheme="majorBidi"/>
          <w:sz w:val="24"/>
          <w:szCs w:val="24"/>
        </w:rPr>
      </w:pPr>
    </w:p>
    <w:p w:rsidR="00B77BA1" w:rsidRDefault="00B77BA1" w:rsidP="003F1FA3">
      <w:pPr>
        <w:jc w:val="both"/>
        <w:rPr>
          <w:rFonts w:asciiTheme="majorBidi" w:hAnsiTheme="majorBidi" w:cstheme="majorBidi"/>
          <w:sz w:val="24"/>
          <w:szCs w:val="24"/>
        </w:rPr>
      </w:pPr>
    </w:p>
    <w:p w:rsidR="00B77BA1" w:rsidRDefault="00B77BA1" w:rsidP="003F1FA3">
      <w:pPr>
        <w:jc w:val="both"/>
        <w:rPr>
          <w:rFonts w:asciiTheme="majorBidi" w:hAnsiTheme="majorBidi" w:cstheme="majorBidi"/>
          <w:sz w:val="24"/>
          <w:szCs w:val="24"/>
        </w:rPr>
      </w:pPr>
    </w:p>
    <w:p w:rsidR="00B77BA1" w:rsidRDefault="00B77BA1" w:rsidP="003F1FA3">
      <w:pPr>
        <w:jc w:val="both"/>
        <w:rPr>
          <w:rFonts w:asciiTheme="majorBidi" w:hAnsiTheme="majorBidi" w:cstheme="majorBidi"/>
          <w:sz w:val="24"/>
          <w:szCs w:val="24"/>
        </w:rPr>
      </w:pPr>
    </w:p>
    <w:p w:rsidR="00B77BA1" w:rsidRDefault="00B77BA1" w:rsidP="003F1FA3">
      <w:pPr>
        <w:jc w:val="both"/>
        <w:rPr>
          <w:rFonts w:asciiTheme="majorBidi" w:hAnsiTheme="majorBidi" w:cstheme="majorBidi"/>
          <w:sz w:val="24"/>
          <w:szCs w:val="24"/>
        </w:rPr>
      </w:pPr>
    </w:p>
    <w:p w:rsidR="00B77BA1" w:rsidRDefault="00B77BA1" w:rsidP="003F1FA3">
      <w:pPr>
        <w:jc w:val="both"/>
        <w:rPr>
          <w:rFonts w:asciiTheme="majorBidi" w:hAnsiTheme="majorBidi" w:cstheme="majorBidi"/>
          <w:sz w:val="24"/>
          <w:szCs w:val="24"/>
        </w:rPr>
      </w:pPr>
    </w:p>
    <w:p w:rsidR="00871F65" w:rsidRPr="00A60666" w:rsidRDefault="00871F65" w:rsidP="00871F65">
      <w:pPr>
        <w:pStyle w:val="N1"/>
      </w:pPr>
      <w:bookmarkStart w:id="1" w:name="_Toc524647253"/>
      <w:bookmarkStart w:id="2" w:name="_Toc524647525"/>
      <w:r w:rsidRPr="00A60666">
        <w:lastRenderedPageBreak/>
        <w:t>BIBLIOGRAPHIE</w:t>
      </w:r>
      <w:bookmarkEnd w:id="1"/>
      <w:bookmarkEnd w:id="2"/>
    </w:p>
    <w:p w:rsidR="00C30FC9" w:rsidRDefault="00871F65" w:rsidP="00871F65">
      <w:pPr>
        <w:jc w:val="both"/>
        <w:rPr>
          <w:rFonts w:asciiTheme="majorBidi" w:hAnsiTheme="majorBidi" w:cstheme="majorBidi"/>
          <w:sz w:val="24"/>
          <w:szCs w:val="24"/>
        </w:rPr>
      </w:pPr>
      <w:r w:rsidRPr="00293A16">
        <w:rPr>
          <w:rStyle w:val="fontstyle01"/>
          <w:rFonts w:asciiTheme="majorBidi" w:hAnsiTheme="majorBidi" w:cstheme="majorBidi"/>
          <w:b/>
          <w:bCs/>
        </w:rPr>
        <w:t>Ouvrages</w:t>
      </w:r>
      <w:r w:rsidRPr="00293A16">
        <w:rPr>
          <w:rFonts w:asciiTheme="majorBidi" w:hAnsiTheme="majorBidi" w:cstheme="majorBidi"/>
          <w:b/>
          <w:bCs/>
          <w:color w:val="000000"/>
          <w:sz w:val="24"/>
          <w:szCs w:val="24"/>
        </w:rPr>
        <w:br/>
      </w:r>
      <w:r w:rsidR="00C30FC9">
        <w:rPr>
          <w:rFonts w:asciiTheme="majorBidi" w:hAnsiTheme="majorBidi" w:cstheme="majorBidi"/>
          <w:sz w:val="24"/>
          <w:szCs w:val="24"/>
        </w:rPr>
        <w:t>Isaac TAMBA (2017), « Comprendre et pratiquer l’économie des politiques publiques Cours et exercices corrigés », Presses Universitaires d’Afrique, 202 p.</w:t>
      </w:r>
    </w:p>
    <w:p w:rsidR="00871F65" w:rsidRDefault="00871F65" w:rsidP="00871F65">
      <w:pPr>
        <w:jc w:val="both"/>
        <w:rPr>
          <w:rFonts w:asciiTheme="majorBidi" w:hAnsiTheme="majorBidi" w:cstheme="majorBidi"/>
          <w:sz w:val="24"/>
          <w:szCs w:val="24"/>
        </w:rPr>
      </w:pPr>
      <w:r w:rsidRPr="00816C59">
        <w:rPr>
          <w:rFonts w:asciiTheme="majorBidi" w:hAnsiTheme="majorBidi" w:cstheme="majorBidi"/>
          <w:sz w:val="24"/>
          <w:szCs w:val="24"/>
        </w:rPr>
        <w:t>Jean-Pierre KUATE (2014), « Le conseil municipal au Cameroun Fonctionnement et responsabilités », Edition bilingue, 185 p.</w:t>
      </w:r>
    </w:p>
    <w:p w:rsidR="00871F65" w:rsidRDefault="00871F65" w:rsidP="00871F65">
      <w:pPr>
        <w:jc w:val="both"/>
        <w:rPr>
          <w:rFonts w:asciiTheme="majorBidi" w:hAnsiTheme="majorBidi" w:cstheme="majorBidi"/>
          <w:sz w:val="24"/>
          <w:szCs w:val="24"/>
        </w:rPr>
      </w:pPr>
      <w:r w:rsidRPr="00816C59">
        <w:rPr>
          <w:rFonts w:asciiTheme="majorBidi" w:hAnsiTheme="majorBidi" w:cstheme="majorBidi"/>
          <w:sz w:val="24"/>
          <w:szCs w:val="24"/>
        </w:rPr>
        <w:t>MBARGA ASSEMBE Luc Roger et ETOUNDI Désiré Joseph (2010), « Comptabilité des Collectivités Territoriales Décentralisées au Cameroun », Imprimerie Saint Paul, Yaoundé, 189 p. </w:t>
      </w:r>
    </w:p>
    <w:p w:rsidR="00871F65" w:rsidRDefault="00871F65" w:rsidP="00871F65">
      <w:pPr>
        <w:jc w:val="both"/>
        <w:rPr>
          <w:rFonts w:asciiTheme="majorBidi" w:hAnsiTheme="majorBidi" w:cstheme="majorBidi"/>
          <w:sz w:val="24"/>
          <w:szCs w:val="24"/>
        </w:rPr>
      </w:pPr>
      <w:r>
        <w:rPr>
          <w:rFonts w:asciiTheme="majorBidi" w:hAnsiTheme="majorBidi" w:cstheme="majorBidi"/>
          <w:sz w:val="24"/>
          <w:szCs w:val="24"/>
        </w:rPr>
        <w:t xml:space="preserve">Yves Tillé </w:t>
      </w:r>
      <w:r w:rsidRPr="00816C59">
        <w:rPr>
          <w:rFonts w:asciiTheme="majorBidi" w:hAnsiTheme="majorBidi" w:cstheme="majorBidi"/>
          <w:sz w:val="24"/>
          <w:szCs w:val="24"/>
        </w:rPr>
        <w:t>(2010), « </w:t>
      </w:r>
      <w:r>
        <w:rPr>
          <w:rFonts w:asciiTheme="majorBidi" w:hAnsiTheme="majorBidi" w:cstheme="majorBidi"/>
          <w:sz w:val="24"/>
          <w:szCs w:val="24"/>
        </w:rPr>
        <w:t>Résumé du Cours de Statistique Descriptive</w:t>
      </w:r>
      <w:r w:rsidRPr="00816C59">
        <w:rPr>
          <w:rFonts w:asciiTheme="majorBidi" w:hAnsiTheme="majorBidi" w:cstheme="majorBidi"/>
          <w:sz w:val="24"/>
          <w:szCs w:val="24"/>
        </w:rPr>
        <w:t> », 1</w:t>
      </w:r>
      <w:r>
        <w:rPr>
          <w:rFonts w:asciiTheme="majorBidi" w:hAnsiTheme="majorBidi" w:cstheme="majorBidi"/>
          <w:sz w:val="24"/>
          <w:szCs w:val="24"/>
        </w:rPr>
        <w:t>72</w:t>
      </w:r>
      <w:r w:rsidRPr="00816C59">
        <w:rPr>
          <w:rFonts w:asciiTheme="majorBidi" w:hAnsiTheme="majorBidi" w:cstheme="majorBidi"/>
          <w:sz w:val="24"/>
          <w:szCs w:val="24"/>
        </w:rPr>
        <w:t xml:space="preserve"> p. </w:t>
      </w:r>
    </w:p>
    <w:p w:rsidR="00871F65" w:rsidRPr="00E20D23" w:rsidRDefault="00871F65" w:rsidP="0025797F">
      <w:pPr>
        <w:spacing w:after="0" w:line="240" w:lineRule="auto"/>
        <w:jc w:val="both"/>
        <w:rPr>
          <w:rFonts w:asciiTheme="majorBidi" w:hAnsiTheme="majorBidi" w:cstheme="majorBidi"/>
          <w:b/>
          <w:bCs/>
          <w:sz w:val="24"/>
          <w:szCs w:val="24"/>
        </w:rPr>
      </w:pPr>
      <w:r w:rsidRPr="00E20D23">
        <w:rPr>
          <w:rFonts w:asciiTheme="majorBidi" w:hAnsiTheme="majorBidi" w:cstheme="majorBidi"/>
          <w:b/>
          <w:bCs/>
          <w:sz w:val="24"/>
          <w:szCs w:val="24"/>
        </w:rPr>
        <w:t>Articles</w:t>
      </w:r>
    </w:p>
    <w:p w:rsidR="00BB64EA" w:rsidRPr="00D60A3F" w:rsidRDefault="00BB64EA" w:rsidP="00BB64EA">
      <w:pPr>
        <w:spacing w:after="240"/>
        <w:rPr>
          <w:rFonts w:asciiTheme="majorBidi" w:hAnsiTheme="majorBidi" w:cstheme="majorBidi"/>
          <w:sz w:val="24"/>
          <w:szCs w:val="24"/>
        </w:rPr>
      </w:pPr>
      <w:r w:rsidRPr="00D60A3F">
        <w:rPr>
          <w:rFonts w:asciiTheme="majorBidi" w:hAnsiTheme="majorBidi" w:cstheme="majorBidi"/>
          <w:sz w:val="24"/>
          <w:szCs w:val="24"/>
        </w:rPr>
        <w:t>Vanessa Barbé</w:t>
      </w:r>
      <w:r>
        <w:rPr>
          <w:rFonts w:asciiTheme="majorBidi" w:hAnsiTheme="majorBidi" w:cstheme="majorBidi"/>
          <w:sz w:val="24"/>
          <w:szCs w:val="24"/>
        </w:rPr>
        <w:t xml:space="preserve"> (2010)</w:t>
      </w:r>
      <w:r w:rsidRPr="00D60A3F">
        <w:rPr>
          <w:rFonts w:asciiTheme="majorBidi" w:hAnsiTheme="majorBidi" w:cstheme="majorBidi"/>
          <w:sz w:val="24"/>
          <w:szCs w:val="24"/>
        </w:rPr>
        <w:t>, « La péréquation, principe constitutionnel », Revue française de</w:t>
      </w:r>
      <w:r>
        <w:rPr>
          <w:rFonts w:asciiTheme="majorBidi" w:hAnsiTheme="majorBidi" w:cstheme="majorBidi"/>
          <w:sz w:val="24"/>
          <w:szCs w:val="24"/>
        </w:rPr>
        <w:t xml:space="preserve"> </w:t>
      </w:r>
      <w:r w:rsidRPr="00D60A3F">
        <w:rPr>
          <w:rFonts w:asciiTheme="majorBidi" w:hAnsiTheme="majorBidi" w:cstheme="majorBidi"/>
          <w:sz w:val="24"/>
          <w:szCs w:val="24"/>
        </w:rPr>
        <w:t>droit constitutionnel 2010/1 (n° 81), p. 3-19.</w:t>
      </w:r>
      <w:r>
        <w:rPr>
          <w:rFonts w:asciiTheme="majorBidi" w:hAnsiTheme="majorBidi" w:cstheme="majorBidi"/>
          <w:sz w:val="24"/>
          <w:szCs w:val="24"/>
        </w:rPr>
        <w:t xml:space="preserve"> </w:t>
      </w:r>
      <w:r w:rsidRPr="00D60A3F">
        <w:rPr>
          <w:rFonts w:asciiTheme="majorBidi" w:hAnsiTheme="majorBidi" w:cstheme="majorBidi"/>
          <w:sz w:val="24"/>
          <w:szCs w:val="24"/>
        </w:rPr>
        <w:t>DOI 10.3917/rfdc.081.0003</w:t>
      </w:r>
    </w:p>
    <w:p w:rsidR="00BB64EA" w:rsidRPr="00CE05A0" w:rsidRDefault="00BB64EA" w:rsidP="00BB64EA">
      <w:pPr>
        <w:spacing w:after="240"/>
        <w:jc w:val="both"/>
        <w:rPr>
          <w:rFonts w:asciiTheme="majorBidi" w:hAnsiTheme="majorBidi" w:cstheme="majorBidi"/>
          <w:sz w:val="24"/>
          <w:szCs w:val="24"/>
        </w:rPr>
      </w:pPr>
      <w:r w:rsidRPr="00D1654D">
        <w:rPr>
          <w:rFonts w:asciiTheme="majorBidi" w:hAnsiTheme="majorBidi" w:cstheme="majorBidi"/>
          <w:sz w:val="24"/>
          <w:szCs w:val="24"/>
        </w:rPr>
        <w:t>Michel Bouvier</w:t>
      </w:r>
      <w:r>
        <w:rPr>
          <w:rFonts w:asciiTheme="majorBidi" w:hAnsiTheme="majorBidi" w:cstheme="majorBidi"/>
          <w:sz w:val="24"/>
          <w:szCs w:val="24"/>
        </w:rPr>
        <w:t xml:space="preserve"> (2007)</w:t>
      </w:r>
      <w:r w:rsidRPr="00D1654D">
        <w:rPr>
          <w:rFonts w:asciiTheme="majorBidi" w:hAnsiTheme="majorBidi" w:cstheme="majorBidi"/>
          <w:sz w:val="24"/>
          <w:szCs w:val="24"/>
        </w:rPr>
        <w:t>, « Repenser la solidarité financière entre collectivités locales : les</w:t>
      </w:r>
      <w:r>
        <w:rPr>
          <w:rFonts w:asciiTheme="majorBidi" w:hAnsiTheme="majorBidi" w:cstheme="majorBidi"/>
          <w:sz w:val="24"/>
          <w:szCs w:val="24"/>
        </w:rPr>
        <w:t xml:space="preserve"> </w:t>
      </w:r>
      <w:r w:rsidRPr="00D1654D">
        <w:rPr>
          <w:rFonts w:asciiTheme="majorBidi" w:hAnsiTheme="majorBidi" w:cstheme="majorBidi"/>
          <w:sz w:val="24"/>
          <w:szCs w:val="24"/>
        </w:rPr>
        <w:t>nouveaux enjeux de la péréquation en France », Revue française d'administration</w:t>
      </w:r>
      <w:r>
        <w:rPr>
          <w:rFonts w:asciiTheme="majorBidi" w:hAnsiTheme="majorBidi" w:cstheme="majorBidi"/>
          <w:sz w:val="24"/>
          <w:szCs w:val="24"/>
        </w:rPr>
        <w:t xml:space="preserve"> </w:t>
      </w:r>
      <w:r w:rsidRPr="00D1654D">
        <w:rPr>
          <w:rFonts w:asciiTheme="majorBidi" w:hAnsiTheme="majorBidi" w:cstheme="majorBidi"/>
          <w:sz w:val="24"/>
          <w:szCs w:val="24"/>
        </w:rPr>
        <w:t>publique 2007/1 (n° 121-122), p. 75-78.</w:t>
      </w:r>
      <w:r>
        <w:rPr>
          <w:rFonts w:asciiTheme="majorBidi" w:hAnsiTheme="majorBidi" w:cstheme="majorBidi"/>
          <w:sz w:val="24"/>
          <w:szCs w:val="24"/>
        </w:rPr>
        <w:t xml:space="preserve"> </w:t>
      </w:r>
      <w:r w:rsidRPr="00CE05A0">
        <w:rPr>
          <w:rFonts w:asciiTheme="majorBidi" w:hAnsiTheme="majorBidi" w:cstheme="majorBidi"/>
          <w:sz w:val="24"/>
          <w:szCs w:val="24"/>
        </w:rPr>
        <w:t>DOI 10.3917/rfap.121.0075</w:t>
      </w:r>
    </w:p>
    <w:p w:rsidR="00BB64EA" w:rsidRDefault="00BB64EA" w:rsidP="00BB64EA">
      <w:pPr>
        <w:spacing w:after="240"/>
        <w:jc w:val="both"/>
        <w:rPr>
          <w:rFonts w:asciiTheme="majorBidi" w:hAnsiTheme="majorBidi" w:cstheme="majorBidi"/>
          <w:sz w:val="24"/>
          <w:szCs w:val="24"/>
        </w:rPr>
      </w:pPr>
      <w:proofErr w:type="spellStart"/>
      <w:r w:rsidRPr="00CE05A0">
        <w:rPr>
          <w:rFonts w:asciiTheme="majorBidi" w:hAnsiTheme="majorBidi" w:cstheme="majorBidi"/>
          <w:sz w:val="24"/>
          <w:szCs w:val="24"/>
        </w:rPr>
        <w:t>Hansjörg</w:t>
      </w:r>
      <w:proofErr w:type="spellEnd"/>
      <w:r w:rsidRPr="00CE05A0">
        <w:rPr>
          <w:rFonts w:asciiTheme="majorBidi" w:hAnsiTheme="majorBidi" w:cstheme="majorBidi"/>
          <w:sz w:val="24"/>
          <w:szCs w:val="24"/>
        </w:rPr>
        <w:t xml:space="preserve"> </w:t>
      </w:r>
      <w:proofErr w:type="spellStart"/>
      <w:r w:rsidRPr="00CE05A0">
        <w:rPr>
          <w:rFonts w:asciiTheme="majorBidi" w:hAnsiTheme="majorBidi" w:cstheme="majorBidi"/>
          <w:sz w:val="24"/>
          <w:szCs w:val="24"/>
        </w:rPr>
        <w:t>Blöchliger</w:t>
      </w:r>
      <w:proofErr w:type="spellEnd"/>
      <w:r w:rsidRPr="00CE05A0">
        <w:rPr>
          <w:rFonts w:asciiTheme="majorBidi" w:hAnsiTheme="majorBidi" w:cstheme="majorBidi"/>
          <w:sz w:val="24"/>
          <w:szCs w:val="24"/>
        </w:rPr>
        <w:t xml:space="preserve">, Claire </w:t>
      </w:r>
      <w:proofErr w:type="spellStart"/>
      <w:r w:rsidRPr="00CE05A0">
        <w:rPr>
          <w:rFonts w:asciiTheme="majorBidi" w:hAnsiTheme="majorBidi" w:cstheme="majorBidi"/>
          <w:sz w:val="24"/>
          <w:szCs w:val="24"/>
        </w:rPr>
        <w:t>Charbit</w:t>
      </w:r>
      <w:proofErr w:type="spellEnd"/>
      <w:r>
        <w:rPr>
          <w:rFonts w:asciiTheme="majorBidi" w:hAnsiTheme="majorBidi" w:cstheme="majorBidi"/>
          <w:sz w:val="24"/>
          <w:szCs w:val="24"/>
        </w:rPr>
        <w:t xml:space="preserve"> (2008), </w:t>
      </w:r>
      <w:r w:rsidRPr="00CE05A0">
        <w:rPr>
          <w:rFonts w:asciiTheme="majorBidi" w:hAnsiTheme="majorBidi" w:cstheme="majorBidi"/>
          <w:sz w:val="24"/>
          <w:szCs w:val="24"/>
        </w:rPr>
        <w:t>« Péréquation financière », Revue économique</w:t>
      </w:r>
      <w:r>
        <w:rPr>
          <w:rFonts w:asciiTheme="majorBidi" w:hAnsiTheme="majorBidi" w:cstheme="majorBidi"/>
          <w:sz w:val="24"/>
          <w:szCs w:val="24"/>
        </w:rPr>
        <w:t xml:space="preserve"> </w:t>
      </w:r>
      <w:r w:rsidRPr="00CE05A0">
        <w:rPr>
          <w:rFonts w:asciiTheme="majorBidi" w:hAnsiTheme="majorBidi" w:cstheme="majorBidi"/>
          <w:sz w:val="24"/>
          <w:szCs w:val="24"/>
        </w:rPr>
        <w:t>de l'OCDE 2008/1 (n° 44), p. 283-309.</w:t>
      </w:r>
    </w:p>
    <w:p w:rsidR="00BB64EA" w:rsidRDefault="00BB64EA" w:rsidP="00BB64EA">
      <w:pPr>
        <w:jc w:val="both"/>
        <w:rPr>
          <w:rFonts w:asciiTheme="majorBidi" w:hAnsiTheme="majorBidi" w:cstheme="majorBidi"/>
          <w:sz w:val="24"/>
          <w:szCs w:val="24"/>
        </w:rPr>
      </w:pPr>
      <w:proofErr w:type="spellStart"/>
      <w:r>
        <w:rPr>
          <w:rFonts w:asciiTheme="majorBidi" w:hAnsiTheme="majorBidi" w:cstheme="majorBidi"/>
          <w:sz w:val="24"/>
          <w:szCs w:val="24"/>
        </w:rPr>
        <w:t>Ebel</w:t>
      </w:r>
      <w:proofErr w:type="spellEnd"/>
      <w:r>
        <w:rPr>
          <w:rFonts w:asciiTheme="majorBidi" w:hAnsiTheme="majorBidi" w:cstheme="majorBidi"/>
          <w:sz w:val="24"/>
          <w:szCs w:val="24"/>
        </w:rPr>
        <w:t xml:space="preserve"> et Yilmaz (2002), « Le concept de décentralisation fiscale et survol mondial », Commission sur le déséquilibre fiscal, Québec, pp. 161-192.</w:t>
      </w:r>
    </w:p>
    <w:p w:rsidR="00BB64EA" w:rsidRDefault="00BB64EA" w:rsidP="00BB64EA">
      <w:pPr>
        <w:spacing w:after="240"/>
        <w:jc w:val="both"/>
        <w:rPr>
          <w:rFonts w:asciiTheme="majorBidi" w:hAnsiTheme="majorBidi" w:cstheme="majorBidi"/>
          <w:sz w:val="24"/>
          <w:szCs w:val="24"/>
        </w:rPr>
      </w:pPr>
      <w:r w:rsidRPr="00143221">
        <w:rPr>
          <w:rFonts w:asciiTheme="majorBidi" w:hAnsiTheme="majorBidi" w:cstheme="majorBidi"/>
          <w:sz w:val="24"/>
          <w:szCs w:val="24"/>
        </w:rPr>
        <w:t>Richard BIRD et François VAILLANCOURT (1</w:t>
      </w:r>
      <w:r>
        <w:rPr>
          <w:rFonts w:asciiTheme="majorBidi" w:hAnsiTheme="majorBidi" w:cstheme="majorBidi"/>
          <w:sz w:val="24"/>
          <w:szCs w:val="24"/>
        </w:rPr>
        <w:t>998</w:t>
      </w:r>
      <w:r w:rsidRPr="00143221">
        <w:rPr>
          <w:rFonts w:asciiTheme="majorBidi" w:hAnsiTheme="majorBidi" w:cstheme="majorBidi"/>
          <w:sz w:val="24"/>
          <w:szCs w:val="24"/>
        </w:rPr>
        <w:t xml:space="preserve">), “Décentralisation financière et pays en développement: concepts, mesure et évaluation”, </w:t>
      </w:r>
      <w:r>
        <w:rPr>
          <w:rStyle w:val="fontstyle01"/>
        </w:rPr>
        <w:t>L'Actualité économique, Revue d'analyse économique, vol. 74, n° 3, septembre 1998</w:t>
      </w:r>
      <w:r w:rsidRPr="00143221">
        <w:rPr>
          <w:rFonts w:asciiTheme="majorBidi" w:hAnsiTheme="majorBidi" w:cstheme="majorBidi"/>
          <w:sz w:val="24"/>
          <w:szCs w:val="24"/>
        </w:rPr>
        <w:t>.</w:t>
      </w:r>
    </w:p>
    <w:p w:rsidR="00BB64EA" w:rsidRDefault="00BB64EA" w:rsidP="00BB64EA">
      <w:pPr>
        <w:spacing w:after="240"/>
        <w:rPr>
          <w:rFonts w:asciiTheme="majorBidi" w:hAnsiTheme="majorBidi" w:cstheme="majorBidi"/>
          <w:sz w:val="24"/>
          <w:szCs w:val="24"/>
        </w:rPr>
      </w:pPr>
      <w:r w:rsidRPr="0042307C">
        <w:rPr>
          <w:rFonts w:asciiTheme="majorBidi" w:hAnsiTheme="majorBidi" w:cstheme="majorBidi"/>
          <w:sz w:val="24"/>
          <w:szCs w:val="24"/>
        </w:rPr>
        <w:t xml:space="preserve">Laurent </w:t>
      </w:r>
      <w:proofErr w:type="spellStart"/>
      <w:r w:rsidRPr="0042307C">
        <w:rPr>
          <w:rFonts w:asciiTheme="majorBidi" w:hAnsiTheme="majorBidi" w:cstheme="majorBidi"/>
          <w:sz w:val="24"/>
          <w:szCs w:val="24"/>
        </w:rPr>
        <w:t>Guihéry</w:t>
      </w:r>
      <w:proofErr w:type="spellEnd"/>
      <w:r w:rsidRPr="0042307C">
        <w:rPr>
          <w:rFonts w:asciiTheme="majorBidi" w:hAnsiTheme="majorBidi" w:cstheme="majorBidi"/>
          <w:sz w:val="24"/>
          <w:szCs w:val="24"/>
        </w:rPr>
        <w:t xml:space="preserve"> </w:t>
      </w:r>
      <w:r w:rsidRPr="00143221">
        <w:rPr>
          <w:rFonts w:asciiTheme="majorBidi" w:hAnsiTheme="majorBidi" w:cstheme="majorBidi"/>
          <w:sz w:val="24"/>
          <w:szCs w:val="24"/>
        </w:rPr>
        <w:t>(1</w:t>
      </w:r>
      <w:r>
        <w:rPr>
          <w:rFonts w:asciiTheme="majorBidi" w:hAnsiTheme="majorBidi" w:cstheme="majorBidi"/>
          <w:sz w:val="24"/>
          <w:szCs w:val="24"/>
        </w:rPr>
        <w:t>997</w:t>
      </w:r>
      <w:r w:rsidRPr="00143221">
        <w:rPr>
          <w:rFonts w:asciiTheme="majorBidi" w:hAnsiTheme="majorBidi" w:cstheme="majorBidi"/>
          <w:sz w:val="24"/>
          <w:szCs w:val="24"/>
        </w:rPr>
        <w:t>), “</w:t>
      </w:r>
      <w:r w:rsidRPr="0042307C">
        <w:t xml:space="preserve"> </w:t>
      </w:r>
      <w:r w:rsidRPr="0042307C">
        <w:rPr>
          <w:rFonts w:asciiTheme="majorBidi" w:hAnsiTheme="majorBidi" w:cstheme="majorBidi"/>
          <w:sz w:val="24"/>
          <w:szCs w:val="24"/>
        </w:rPr>
        <w:t>Fédéralisme fiscal et redistribution : fondements et enseignements du</w:t>
      </w:r>
      <w:r>
        <w:rPr>
          <w:rFonts w:asciiTheme="majorBidi" w:hAnsiTheme="majorBidi" w:cstheme="majorBidi"/>
          <w:sz w:val="24"/>
          <w:szCs w:val="24"/>
        </w:rPr>
        <w:t xml:space="preserve"> </w:t>
      </w:r>
      <w:r w:rsidRPr="0042307C">
        <w:rPr>
          <w:rFonts w:asciiTheme="majorBidi" w:hAnsiTheme="majorBidi" w:cstheme="majorBidi"/>
          <w:sz w:val="24"/>
          <w:szCs w:val="24"/>
        </w:rPr>
        <w:t>fédéralisme allemand</w:t>
      </w:r>
      <w:r w:rsidRPr="00143221">
        <w:rPr>
          <w:rFonts w:asciiTheme="majorBidi" w:hAnsiTheme="majorBidi" w:cstheme="majorBidi"/>
          <w:sz w:val="24"/>
          <w:szCs w:val="24"/>
        </w:rPr>
        <w:t xml:space="preserve">”, </w:t>
      </w:r>
      <w:r>
        <w:rPr>
          <w:rStyle w:val="fontstyle01"/>
        </w:rPr>
        <w:t>Résumé de thèse, 28 p</w:t>
      </w:r>
      <w:r w:rsidRPr="00143221">
        <w:rPr>
          <w:rFonts w:asciiTheme="majorBidi" w:hAnsiTheme="majorBidi" w:cstheme="majorBidi"/>
          <w:sz w:val="24"/>
          <w:szCs w:val="24"/>
        </w:rPr>
        <w:t>.</w:t>
      </w:r>
    </w:p>
    <w:p w:rsidR="003E4510" w:rsidRDefault="003E4510" w:rsidP="0025797F">
      <w:pPr>
        <w:spacing w:after="0" w:line="240" w:lineRule="auto"/>
        <w:jc w:val="both"/>
        <w:rPr>
          <w:rFonts w:asciiTheme="majorBidi" w:hAnsiTheme="majorBidi" w:cstheme="majorBidi"/>
          <w:b/>
          <w:bCs/>
          <w:sz w:val="24"/>
          <w:szCs w:val="24"/>
        </w:rPr>
      </w:pPr>
      <w:r w:rsidRPr="00816C59">
        <w:rPr>
          <w:rFonts w:asciiTheme="majorBidi" w:hAnsiTheme="majorBidi" w:cstheme="majorBidi"/>
          <w:b/>
          <w:bCs/>
          <w:sz w:val="24"/>
          <w:szCs w:val="24"/>
        </w:rPr>
        <w:t xml:space="preserve">Textes </w:t>
      </w:r>
      <w:r w:rsidR="00A0023A">
        <w:rPr>
          <w:rFonts w:asciiTheme="majorBidi" w:hAnsiTheme="majorBidi" w:cstheme="majorBidi"/>
          <w:b/>
          <w:bCs/>
          <w:sz w:val="24"/>
          <w:szCs w:val="24"/>
        </w:rPr>
        <w:t>réglementaires</w:t>
      </w:r>
      <w:r w:rsidRPr="00816C59">
        <w:rPr>
          <w:rFonts w:asciiTheme="majorBidi" w:hAnsiTheme="majorBidi" w:cstheme="majorBidi"/>
          <w:b/>
          <w:bCs/>
          <w:sz w:val="24"/>
          <w:szCs w:val="24"/>
        </w:rPr>
        <w:t xml:space="preserve"> </w:t>
      </w:r>
    </w:p>
    <w:p w:rsidR="0084114A" w:rsidRDefault="0084114A" w:rsidP="0025797F">
      <w:pPr>
        <w:spacing w:after="240" w:line="240" w:lineRule="auto"/>
        <w:jc w:val="both"/>
        <w:rPr>
          <w:rFonts w:asciiTheme="majorBidi" w:hAnsiTheme="majorBidi" w:cstheme="majorBidi"/>
          <w:sz w:val="24"/>
          <w:szCs w:val="24"/>
        </w:rPr>
      </w:pPr>
      <w:r>
        <w:rPr>
          <w:rFonts w:asciiTheme="majorBidi" w:hAnsiTheme="majorBidi" w:cstheme="majorBidi"/>
          <w:sz w:val="24"/>
          <w:szCs w:val="24"/>
        </w:rPr>
        <w:t>D</w:t>
      </w:r>
      <w:r w:rsidRPr="003E4510">
        <w:rPr>
          <w:rFonts w:asciiTheme="majorBidi" w:hAnsiTheme="majorBidi" w:cstheme="majorBidi"/>
          <w:sz w:val="24"/>
          <w:szCs w:val="24"/>
        </w:rPr>
        <w:t xml:space="preserve">écrets N° 2019/0829/PM du 22 février 2019 fixant la répartition de la </w:t>
      </w:r>
      <w:r>
        <w:rPr>
          <w:rFonts w:asciiTheme="majorBidi" w:hAnsiTheme="majorBidi" w:cstheme="majorBidi"/>
          <w:sz w:val="24"/>
          <w:szCs w:val="24"/>
        </w:rPr>
        <w:t>Dotation G</w:t>
      </w:r>
      <w:r w:rsidRPr="00830535">
        <w:rPr>
          <w:rFonts w:asciiTheme="majorBidi" w:hAnsiTheme="majorBidi" w:cstheme="majorBidi"/>
          <w:sz w:val="24"/>
          <w:szCs w:val="24"/>
        </w:rPr>
        <w:t>énérale</w:t>
      </w:r>
      <w:r>
        <w:rPr>
          <w:rFonts w:asciiTheme="majorBidi" w:hAnsiTheme="majorBidi" w:cstheme="majorBidi"/>
          <w:sz w:val="24"/>
          <w:szCs w:val="24"/>
        </w:rPr>
        <w:t xml:space="preserve"> de la D</w:t>
      </w:r>
      <w:r w:rsidRPr="00830535">
        <w:rPr>
          <w:rFonts w:asciiTheme="majorBidi" w:hAnsiTheme="majorBidi" w:cstheme="majorBidi"/>
          <w:sz w:val="24"/>
          <w:szCs w:val="24"/>
        </w:rPr>
        <w:t>écentralisation au titre de l’exercice budgétaire 2018</w:t>
      </w:r>
    </w:p>
    <w:p w:rsidR="0084114A" w:rsidRDefault="0084114A" w:rsidP="0084114A">
      <w:pPr>
        <w:jc w:val="both"/>
        <w:rPr>
          <w:rFonts w:asciiTheme="majorBidi" w:hAnsiTheme="majorBidi" w:cstheme="majorBidi"/>
          <w:sz w:val="24"/>
          <w:szCs w:val="24"/>
        </w:rPr>
      </w:pPr>
      <w:r>
        <w:rPr>
          <w:rFonts w:asciiTheme="majorBidi" w:hAnsiTheme="majorBidi" w:cstheme="majorBidi"/>
          <w:sz w:val="24"/>
          <w:szCs w:val="24"/>
        </w:rPr>
        <w:t>Décret N</w:t>
      </w:r>
      <w:r w:rsidRPr="00830535">
        <w:rPr>
          <w:rFonts w:asciiTheme="majorBidi" w:hAnsiTheme="majorBidi" w:cstheme="majorBidi"/>
          <w:sz w:val="24"/>
          <w:szCs w:val="24"/>
        </w:rPr>
        <w:t>° 2018/293/</w:t>
      </w:r>
      <w:r>
        <w:rPr>
          <w:rFonts w:asciiTheme="majorBidi" w:hAnsiTheme="majorBidi" w:cstheme="majorBidi"/>
          <w:sz w:val="24"/>
          <w:szCs w:val="24"/>
        </w:rPr>
        <w:t>PM</w:t>
      </w:r>
      <w:r w:rsidRPr="00830535">
        <w:rPr>
          <w:rFonts w:asciiTheme="majorBidi" w:hAnsiTheme="majorBidi" w:cstheme="majorBidi"/>
          <w:sz w:val="24"/>
          <w:szCs w:val="24"/>
        </w:rPr>
        <w:t xml:space="preserve"> du 10 avril 2018</w:t>
      </w:r>
      <w:r>
        <w:rPr>
          <w:rFonts w:asciiTheme="majorBidi" w:hAnsiTheme="majorBidi" w:cstheme="majorBidi"/>
          <w:sz w:val="24"/>
          <w:szCs w:val="24"/>
        </w:rPr>
        <w:t xml:space="preserve"> portant</w:t>
      </w:r>
      <w:r w:rsidRPr="00830535">
        <w:rPr>
          <w:rFonts w:asciiTheme="majorBidi" w:hAnsiTheme="majorBidi" w:cstheme="majorBidi"/>
          <w:sz w:val="24"/>
          <w:szCs w:val="24"/>
        </w:rPr>
        <w:t xml:space="preserve"> répartition</w:t>
      </w:r>
      <w:r>
        <w:rPr>
          <w:rFonts w:asciiTheme="majorBidi" w:hAnsiTheme="majorBidi" w:cstheme="majorBidi"/>
          <w:sz w:val="24"/>
          <w:szCs w:val="24"/>
        </w:rPr>
        <w:t xml:space="preserve"> de la Dotation G</w:t>
      </w:r>
      <w:r w:rsidRPr="00830535">
        <w:rPr>
          <w:rFonts w:asciiTheme="majorBidi" w:hAnsiTheme="majorBidi" w:cstheme="majorBidi"/>
          <w:sz w:val="24"/>
          <w:szCs w:val="24"/>
        </w:rPr>
        <w:t>énérale</w:t>
      </w:r>
      <w:r>
        <w:rPr>
          <w:rFonts w:asciiTheme="majorBidi" w:hAnsiTheme="majorBidi" w:cstheme="majorBidi"/>
          <w:sz w:val="24"/>
          <w:szCs w:val="24"/>
        </w:rPr>
        <w:t xml:space="preserve"> de la D</w:t>
      </w:r>
      <w:r w:rsidRPr="00830535">
        <w:rPr>
          <w:rFonts w:asciiTheme="majorBidi" w:hAnsiTheme="majorBidi" w:cstheme="majorBidi"/>
          <w:sz w:val="24"/>
          <w:szCs w:val="24"/>
        </w:rPr>
        <w:t>écentralisation au titre de l’exercice budgétaire 2018</w:t>
      </w:r>
    </w:p>
    <w:p w:rsidR="0084114A" w:rsidRDefault="00A0023A" w:rsidP="0025797F">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w:t>
      </w:r>
      <w:r w:rsidRPr="00816C59">
        <w:rPr>
          <w:rFonts w:asciiTheme="majorBidi" w:hAnsiTheme="majorBidi" w:cstheme="majorBidi"/>
          <w:b/>
          <w:bCs/>
          <w:sz w:val="24"/>
          <w:szCs w:val="24"/>
        </w:rPr>
        <w:t xml:space="preserve">ocuments </w:t>
      </w:r>
      <w:r>
        <w:rPr>
          <w:rFonts w:asciiTheme="majorBidi" w:hAnsiTheme="majorBidi" w:cstheme="majorBidi"/>
          <w:b/>
          <w:bCs/>
          <w:sz w:val="24"/>
          <w:szCs w:val="24"/>
        </w:rPr>
        <w:t>administratifs</w:t>
      </w:r>
    </w:p>
    <w:p w:rsidR="003E4510" w:rsidRPr="003E4510" w:rsidRDefault="003E4510" w:rsidP="003E4510">
      <w:pPr>
        <w:jc w:val="both"/>
        <w:rPr>
          <w:rFonts w:asciiTheme="majorBidi" w:hAnsiTheme="majorBidi" w:cstheme="majorBidi"/>
          <w:b/>
          <w:bCs/>
          <w:sz w:val="24"/>
          <w:szCs w:val="24"/>
        </w:rPr>
      </w:pPr>
      <w:r>
        <w:rPr>
          <w:rFonts w:asciiTheme="majorBidi" w:hAnsiTheme="majorBidi" w:cstheme="majorBidi"/>
          <w:sz w:val="24"/>
          <w:szCs w:val="24"/>
        </w:rPr>
        <w:t xml:space="preserve">Ministère de l’Economie, de la Planification et de l’Aménagement du Territoire (MINEPAT) (2018), </w:t>
      </w:r>
      <w:r w:rsidRPr="003E4510">
        <w:rPr>
          <w:rFonts w:asciiTheme="majorBidi" w:hAnsiTheme="majorBidi" w:cstheme="majorBidi"/>
          <w:sz w:val="24"/>
          <w:szCs w:val="24"/>
        </w:rPr>
        <w:t>Nouveau mode opératoire de budgétisation, d’exécution et de suivi des ressources d’investissement public transférées aux Collectivités Territoriales Décentralisées</w:t>
      </w:r>
    </w:p>
    <w:sectPr w:rsidR="003E4510" w:rsidRPr="003E4510" w:rsidSect="00F7099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CF5" w:rsidRDefault="00443CF5" w:rsidP="001334B1">
      <w:pPr>
        <w:spacing w:after="0" w:line="240" w:lineRule="auto"/>
      </w:pPr>
      <w:r>
        <w:separator/>
      </w:r>
    </w:p>
  </w:endnote>
  <w:endnote w:type="continuationSeparator" w:id="0">
    <w:p w:rsidR="00443CF5" w:rsidRDefault="00443CF5" w:rsidP="0013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654342"/>
      <w:docPartObj>
        <w:docPartGallery w:val="Page Numbers (Bottom of Page)"/>
        <w:docPartUnique/>
      </w:docPartObj>
    </w:sdtPr>
    <w:sdtContent>
      <w:p w:rsidR="00A75C62" w:rsidRDefault="00A75C62">
        <w:pPr>
          <w:pStyle w:val="Pieddepage"/>
          <w:jc w:val="center"/>
        </w:pPr>
        <w:r>
          <w:fldChar w:fldCharType="begin"/>
        </w:r>
        <w:r>
          <w:instrText>PAGE   \* MERGEFORMAT</w:instrText>
        </w:r>
        <w:r>
          <w:fldChar w:fldCharType="separate"/>
        </w:r>
        <w:r w:rsidR="000D79E0">
          <w:rPr>
            <w:noProof/>
          </w:rPr>
          <w:t>14</w:t>
        </w:r>
        <w:r>
          <w:fldChar w:fldCharType="end"/>
        </w:r>
      </w:p>
    </w:sdtContent>
  </w:sdt>
  <w:p w:rsidR="00A75C62" w:rsidRDefault="00A75C62" w:rsidP="003F72C1">
    <w:pPr>
      <w:pStyle w:val="Pieddepage"/>
      <w:jc w:val="center"/>
    </w:pPr>
    <w:r>
      <w:t>LOTY Pierre Jean-Daniel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C62" w:rsidRPr="00237F0C" w:rsidRDefault="00A75C62" w:rsidP="00237F0C">
    <w:pPr>
      <w:pStyle w:val="Pieddepage"/>
      <w:jc w:val="center"/>
      <w:rPr>
        <w:rFonts w:asciiTheme="majorBidi" w:hAnsiTheme="majorBidi" w:cstheme="majorBidi"/>
        <w:sz w:val="20"/>
        <w:szCs w:val="20"/>
      </w:rPr>
    </w:pPr>
    <w:r w:rsidRPr="00237F0C">
      <w:rPr>
        <w:rFonts w:asciiTheme="majorBidi" w:hAnsiTheme="majorBidi" w:cstheme="majorBidi"/>
        <w:sz w:val="20"/>
        <w:szCs w:val="20"/>
      </w:rPr>
      <w:t>Par LOTY P</w:t>
    </w:r>
    <w:r>
      <w:rPr>
        <w:rFonts w:asciiTheme="majorBidi" w:hAnsiTheme="majorBidi" w:cstheme="majorBidi"/>
        <w:sz w:val="20"/>
        <w:szCs w:val="20"/>
      </w:rPr>
      <w:t>ierre Jean-Daniel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CF5" w:rsidRDefault="00443CF5" w:rsidP="001334B1">
      <w:pPr>
        <w:spacing w:after="0" w:line="240" w:lineRule="auto"/>
      </w:pPr>
      <w:r>
        <w:separator/>
      </w:r>
    </w:p>
  </w:footnote>
  <w:footnote w:type="continuationSeparator" w:id="0">
    <w:p w:rsidR="00443CF5" w:rsidRDefault="00443CF5" w:rsidP="001334B1">
      <w:pPr>
        <w:spacing w:after="0" w:line="240" w:lineRule="auto"/>
      </w:pPr>
      <w:r>
        <w:continuationSeparator/>
      </w:r>
    </w:p>
  </w:footnote>
  <w:footnote w:id="1">
    <w:p w:rsidR="00A75C62" w:rsidRDefault="00A75C62" w:rsidP="00A52EAE">
      <w:pPr>
        <w:pStyle w:val="Notedebasdepage"/>
        <w:jc w:val="both"/>
      </w:pPr>
      <w:r>
        <w:rPr>
          <w:rStyle w:val="Appelnotedebasdep"/>
        </w:rPr>
        <w:footnoteRef/>
      </w:r>
      <w:r>
        <w:t xml:space="preserve"> Aux termes de l’article 1</w:t>
      </w:r>
      <w:r w:rsidRPr="00B80223">
        <w:rPr>
          <w:vertAlign w:val="superscript"/>
        </w:rPr>
        <w:t>er</w:t>
      </w:r>
      <w:r>
        <w:t>, alinéa 2 de la constitution de 1996, « La République du Cameroun est un Etat unitaire et décentralisé ». En outre, l’article 55, alinéa 2 dispose : « Les collectivités territoriales décentralisées sont des personnes morales de droit public. Elles jouissent de l’autonomie administrative et financière pour la gestion des intérêts régionaux et locaux. Elles s’administrent librement par des conseils élus et dans les conditions fixées par la loi. »</w:t>
      </w:r>
    </w:p>
  </w:footnote>
  <w:footnote w:id="2">
    <w:p w:rsidR="00A75C62" w:rsidRDefault="00A75C62" w:rsidP="003F32CA">
      <w:pPr>
        <w:pStyle w:val="Notedebasdepage"/>
        <w:jc w:val="both"/>
      </w:pPr>
      <w:r>
        <w:rPr>
          <w:rStyle w:val="Appelnotedebasdep"/>
        </w:rPr>
        <w:footnoteRef/>
      </w:r>
      <w:r>
        <w:t xml:space="preserve"> Le taux d’accès à l’eau potable renvoie ici à tous les ménages qui ont accès à une source d’approvisionnement améliorée, que ce soit dans le domicile ou à l’extérieur.</w:t>
      </w:r>
    </w:p>
  </w:footnote>
  <w:footnote w:id="3">
    <w:p w:rsidR="00A75C62" w:rsidRDefault="00A75C62" w:rsidP="00C93FBC">
      <w:pPr>
        <w:pStyle w:val="Notedebasdepage"/>
        <w:jc w:val="both"/>
      </w:pPr>
      <w:r>
        <w:rPr>
          <w:rStyle w:val="Appelnotedebasdep"/>
        </w:rPr>
        <w:footnoteRef/>
      </w:r>
      <w:r>
        <w:t xml:space="preserve"> Les données EDS 2004 et EDS 2011 ont permis d’obtenir le taux de croissance pour cet indicateur et de réaliser les projections pour 2016.</w:t>
      </w:r>
    </w:p>
  </w:footnote>
  <w:footnote w:id="4">
    <w:p w:rsidR="00A75C62" w:rsidRDefault="00A75C62" w:rsidP="00AF487B">
      <w:pPr>
        <w:pStyle w:val="Notedebasdepage"/>
      </w:pPr>
      <w:r>
        <w:rPr>
          <w:rStyle w:val="Appelnotedebasdep"/>
        </w:rPr>
        <w:footnoteRef/>
      </w:r>
      <w:r>
        <w:t xml:space="preserve"> D’après nos calculs, sur la base des données d’exécution du BIP compilées par le MINEPAT pour les exercices 2015-2017.</w:t>
      </w:r>
    </w:p>
  </w:footnote>
  <w:footnote w:id="5">
    <w:p w:rsidR="00A75C62" w:rsidRDefault="00A75C62" w:rsidP="00A52EAE">
      <w:pPr>
        <w:pStyle w:val="Notedebasdepage"/>
        <w:jc w:val="both"/>
      </w:pPr>
      <w:r>
        <w:rPr>
          <w:rStyle w:val="Appelnotedebasdep"/>
        </w:rPr>
        <w:footnoteRef/>
      </w:r>
      <w:r>
        <w:t xml:space="preserve"> Selon le document technique sur le « N</w:t>
      </w:r>
      <w:r w:rsidRPr="009B2D50">
        <w:t>ouveau mode opératoire de budgétisation, d’exécution et de suivi des ressources d’investiss</w:t>
      </w:r>
      <w:r>
        <w:t>ement public transférées aux Collectivités Territoriales Décentralisées » : « Les transferts de l’Etat au profit des CTD, inscrits dans le BIP du Ministère de la Décentralisation et du Développement Local (MINDDEVEL) [sont] alloués à toutes les 360 communes du Cameroun (…) [pour] la réalisation des projets multisectoriels issus de leur Plan Communal de Développement. » (MINEPAT, 2018)</w:t>
      </w:r>
    </w:p>
  </w:footnote>
  <w:footnote w:id="6">
    <w:p w:rsidR="00A75C62" w:rsidRDefault="00A75C62" w:rsidP="00D279B7">
      <w:pPr>
        <w:pStyle w:val="Notedebasdepage"/>
        <w:jc w:val="both"/>
      </w:pPr>
      <w:r>
        <w:rPr>
          <w:rStyle w:val="Appelnotedebasdep"/>
        </w:rPr>
        <w:footnoteRef/>
      </w:r>
      <w:r>
        <w:t xml:space="preserve"> Voir les décrets N° 2019/0829/PM du 22 février 2019 et N° 2018</w:t>
      </w:r>
      <w:r w:rsidRPr="00D279B7">
        <w:t>/293/</w:t>
      </w:r>
      <w:r>
        <w:t>PM</w:t>
      </w:r>
      <w:r w:rsidRPr="00D279B7">
        <w:t xml:space="preserve"> du 10 avril 2018</w:t>
      </w:r>
      <w:r>
        <w:t xml:space="preserve">, fixant respectivement la répartition de la DGD au titre des exercices budgétaires 2019 et </w:t>
      </w:r>
      <w:r w:rsidRPr="00D279B7">
        <w:t>2018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C62" w:rsidRPr="008671EA" w:rsidRDefault="00A75C62" w:rsidP="008671EA">
    <w:pPr>
      <w:spacing w:after="0" w:line="240" w:lineRule="auto"/>
      <w:jc w:val="center"/>
      <w:rPr>
        <w:rFonts w:asciiTheme="majorBidi" w:hAnsiTheme="majorBidi" w:cstheme="majorBidi"/>
        <w:b/>
        <w:bCs/>
        <w:sz w:val="20"/>
        <w:szCs w:val="20"/>
      </w:rPr>
    </w:pPr>
    <w:r w:rsidRPr="008671EA">
      <w:rPr>
        <w:rFonts w:asciiTheme="majorBidi" w:hAnsiTheme="majorBidi" w:cstheme="majorBidi"/>
        <w:b/>
        <w:bCs/>
        <w:sz w:val="20"/>
        <w:szCs w:val="20"/>
      </w:rPr>
      <w:t>CONSTRUCTION D’UN INDICE DE REPARTITION EQUITABLE</w:t>
    </w:r>
    <w:r>
      <w:rPr>
        <w:rFonts w:asciiTheme="majorBidi" w:hAnsiTheme="majorBidi" w:cstheme="majorBidi"/>
        <w:b/>
        <w:bCs/>
        <w:sz w:val="20"/>
        <w:szCs w:val="20"/>
      </w:rPr>
      <w:t xml:space="preserve"> </w:t>
    </w:r>
    <w:r w:rsidRPr="008671EA">
      <w:rPr>
        <w:rFonts w:asciiTheme="majorBidi" w:hAnsiTheme="majorBidi" w:cstheme="majorBidi"/>
        <w:b/>
        <w:bCs/>
        <w:sz w:val="20"/>
        <w:szCs w:val="20"/>
      </w:rPr>
      <w:t>DES RESSOURCES D’INVESTISSEMENT ENTRE LES COMMUNES</w:t>
    </w:r>
    <w:r>
      <w:rPr>
        <w:rFonts w:asciiTheme="majorBidi" w:hAnsiTheme="majorBidi" w:cstheme="majorBidi"/>
        <w:b/>
        <w:bCs/>
        <w:sz w:val="20"/>
        <w:szCs w:val="20"/>
      </w:rPr>
      <w:t xml:space="preserve"> AU CAMEROUN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4353"/>
    <w:multiLevelType w:val="hybridMultilevel"/>
    <w:tmpl w:val="411897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D66D79"/>
    <w:multiLevelType w:val="hybridMultilevel"/>
    <w:tmpl w:val="0F5C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75240C"/>
    <w:multiLevelType w:val="hybridMultilevel"/>
    <w:tmpl w:val="6994F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DE4A6E"/>
    <w:multiLevelType w:val="hybridMultilevel"/>
    <w:tmpl w:val="B6DA6CDE"/>
    <w:lvl w:ilvl="0" w:tplc="6DA4A66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0802EB"/>
    <w:multiLevelType w:val="hybridMultilevel"/>
    <w:tmpl w:val="411897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1A790E"/>
    <w:multiLevelType w:val="hybridMultilevel"/>
    <w:tmpl w:val="6F86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2F375D"/>
    <w:multiLevelType w:val="hybridMultilevel"/>
    <w:tmpl w:val="72C462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DE29BC"/>
    <w:multiLevelType w:val="multilevel"/>
    <w:tmpl w:val="A8FC46B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3"/>
  </w:num>
  <w:num w:numId="4">
    <w:abstractNumId w:val="5"/>
  </w:num>
  <w:num w:numId="5">
    <w:abstractNumId w:val="2"/>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44"/>
    <w:rsid w:val="0000006E"/>
    <w:rsid w:val="000006D5"/>
    <w:rsid w:val="00003F10"/>
    <w:rsid w:val="000060D2"/>
    <w:rsid w:val="00007437"/>
    <w:rsid w:val="00007720"/>
    <w:rsid w:val="00010FD3"/>
    <w:rsid w:val="00012019"/>
    <w:rsid w:val="000130F3"/>
    <w:rsid w:val="000153D2"/>
    <w:rsid w:val="00020261"/>
    <w:rsid w:val="00020E7C"/>
    <w:rsid w:val="00024912"/>
    <w:rsid w:val="0002738A"/>
    <w:rsid w:val="000275F8"/>
    <w:rsid w:val="00034ADC"/>
    <w:rsid w:val="00035581"/>
    <w:rsid w:val="00047792"/>
    <w:rsid w:val="00047DBE"/>
    <w:rsid w:val="00050460"/>
    <w:rsid w:val="00051911"/>
    <w:rsid w:val="00061841"/>
    <w:rsid w:val="00063E81"/>
    <w:rsid w:val="00067A5A"/>
    <w:rsid w:val="00073046"/>
    <w:rsid w:val="0007448C"/>
    <w:rsid w:val="00076229"/>
    <w:rsid w:val="00076385"/>
    <w:rsid w:val="00077A53"/>
    <w:rsid w:val="000818E8"/>
    <w:rsid w:val="000837A8"/>
    <w:rsid w:val="00085773"/>
    <w:rsid w:val="00086317"/>
    <w:rsid w:val="0008777E"/>
    <w:rsid w:val="00090A3A"/>
    <w:rsid w:val="00092AF3"/>
    <w:rsid w:val="00095ED7"/>
    <w:rsid w:val="000A178C"/>
    <w:rsid w:val="000A2476"/>
    <w:rsid w:val="000A368E"/>
    <w:rsid w:val="000A47F8"/>
    <w:rsid w:val="000A5747"/>
    <w:rsid w:val="000A748A"/>
    <w:rsid w:val="000A759F"/>
    <w:rsid w:val="000A7E46"/>
    <w:rsid w:val="000B0F3F"/>
    <w:rsid w:val="000B3E78"/>
    <w:rsid w:val="000B4BC9"/>
    <w:rsid w:val="000C5524"/>
    <w:rsid w:val="000C75B5"/>
    <w:rsid w:val="000D2225"/>
    <w:rsid w:val="000D79E0"/>
    <w:rsid w:val="000E4BE0"/>
    <w:rsid w:val="000E5978"/>
    <w:rsid w:val="000E7511"/>
    <w:rsid w:val="000F18DA"/>
    <w:rsid w:val="000F28B8"/>
    <w:rsid w:val="000F70CF"/>
    <w:rsid w:val="000F774C"/>
    <w:rsid w:val="00101571"/>
    <w:rsid w:val="00102CBB"/>
    <w:rsid w:val="00104872"/>
    <w:rsid w:val="00106621"/>
    <w:rsid w:val="001136A9"/>
    <w:rsid w:val="001137B7"/>
    <w:rsid w:val="00114866"/>
    <w:rsid w:val="00117EAC"/>
    <w:rsid w:val="00122C7A"/>
    <w:rsid w:val="00130A6C"/>
    <w:rsid w:val="00130C74"/>
    <w:rsid w:val="0013288B"/>
    <w:rsid w:val="001334B1"/>
    <w:rsid w:val="00133ED6"/>
    <w:rsid w:val="0013628E"/>
    <w:rsid w:val="00136755"/>
    <w:rsid w:val="00136BA9"/>
    <w:rsid w:val="00141975"/>
    <w:rsid w:val="001420C5"/>
    <w:rsid w:val="00142B2B"/>
    <w:rsid w:val="00143405"/>
    <w:rsid w:val="00145154"/>
    <w:rsid w:val="00150B59"/>
    <w:rsid w:val="001559B0"/>
    <w:rsid w:val="00155D3A"/>
    <w:rsid w:val="0016047B"/>
    <w:rsid w:val="0016509F"/>
    <w:rsid w:val="001676CD"/>
    <w:rsid w:val="00167A9D"/>
    <w:rsid w:val="00167B56"/>
    <w:rsid w:val="001729DE"/>
    <w:rsid w:val="001731D4"/>
    <w:rsid w:val="001735A6"/>
    <w:rsid w:val="001740B3"/>
    <w:rsid w:val="00176913"/>
    <w:rsid w:val="00177E7B"/>
    <w:rsid w:val="00180514"/>
    <w:rsid w:val="00180708"/>
    <w:rsid w:val="00184D97"/>
    <w:rsid w:val="001851E9"/>
    <w:rsid w:val="00192077"/>
    <w:rsid w:val="001934FF"/>
    <w:rsid w:val="001A3187"/>
    <w:rsid w:val="001A52B0"/>
    <w:rsid w:val="001B1BC7"/>
    <w:rsid w:val="001B2330"/>
    <w:rsid w:val="001C1E41"/>
    <w:rsid w:val="001C2F4D"/>
    <w:rsid w:val="001C31F9"/>
    <w:rsid w:val="001C3C07"/>
    <w:rsid w:val="001C47F7"/>
    <w:rsid w:val="001C4886"/>
    <w:rsid w:val="001C65AF"/>
    <w:rsid w:val="001C6F9B"/>
    <w:rsid w:val="001D5D53"/>
    <w:rsid w:val="001E26C9"/>
    <w:rsid w:val="001E3FD2"/>
    <w:rsid w:val="001E493A"/>
    <w:rsid w:val="001E7B20"/>
    <w:rsid w:val="001F2C03"/>
    <w:rsid w:val="001F37B5"/>
    <w:rsid w:val="001F715A"/>
    <w:rsid w:val="00203D70"/>
    <w:rsid w:val="002041B9"/>
    <w:rsid w:val="002049E2"/>
    <w:rsid w:val="00207A36"/>
    <w:rsid w:val="00210A7C"/>
    <w:rsid w:val="00211D8A"/>
    <w:rsid w:val="002171E9"/>
    <w:rsid w:val="00220D95"/>
    <w:rsid w:val="0022306F"/>
    <w:rsid w:val="00224349"/>
    <w:rsid w:val="00226FEC"/>
    <w:rsid w:val="002315EB"/>
    <w:rsid w:val="00232003"/>
    <w:rsid w:val="002348C4"/>
    <w:rsid w:val="00237F0C"/>
    <w:rsid w:val="00241677"/>
    <w:rsid w:val="002563EC"/>
    <w:rsid w:val="0025797F"/>
    <w:rsid w:val="00257B4C"/>
    <w:rsid w:val="00271914"/>
    <w:rsid w:val="00273A93"/>
    <w:rsid w:val="00274210"/>
    <w:rsid w:val="0027597A"/>
    <w:rsid w:val="00276421"/>
    <w:rsid w:val="00284319"/>
    <w:rsid w:val="00286189"/>
    <w:rsid w:val="002870D9"/>
    <w:rsid w:val="002A7C6C"/>
    <w:rsid w:val="002B04E7"/>
    <w:rsid w:val="002B05E1"/>
    <w:rsid w:val="002B090D"/>
    <w:rsid w:val="002B0B26"/>
    <w:rsid w:val="002B4043"/>
    <w:rsid w:val="002B607B"/>
    <w:rsid w:val="002B6210"/>
    <w:rsid w:val="002B6D86"/>
    <w:rsid w:val="002C22BF"/>
    <w:rsid w:val="002C24A3"/>
    <w:rsid w:val="002D0D4F"/>
    <w:rsid w:val="002D15DC"/>
    <w:rsid w:val="002D1F93"/>
    <w:rsid w:val="002D26AC"/>
    <w:rsid w:val="002D5C04"/>
    <w:rsid w:val="002D7600"/>
    <w:rsid w:val="002F3EED"/>
    <w:rsid w:val="002F4BEC"/>
    <w:rsid w:val="00300F51"/>
    <w:rsid w:val="003059B9"/>
    <w:rsid w:val="00305A45"/>
    <w:rsid w:val="003147D7"/>
    <w:rsid w:val="00317461"/>
    <w:rsid w:val="00317487"/>
    <w:rsid w:val="00327992"/>
    <w:rsid w:val="00327C14"/>
    <w:rsid w:val="00331DD8"/>
    <w:rsid w:val="003542F8"/>
    <w:rsid w:val="00354C2E"/>
    <w:rsid w:val="003559D5"/>
    <w:rsid w:val="00367B8D"/>
    <w:rsid w:val="00367C02"/>
    <w:rsid w:val="003714D8"/>
    <w:rsid w:val="003766FB"/>
    <w:rsid w:val="0038099F"/>
    <w:rsid w:val="00383E76"/>
    <w:rsid w:val="00386429"/>
    <w:rsid w:val="00387209"/>
    <w:rsid w:val="00390AB0"/>
    <w:rsid w:val="00391D5F"/>
    <w:rsid w:val="0039252C"/>
    <w:rsid w:val="003A31C8"/>
    <w:rsid w:val="003A3616"/>
    <w:rsid w:val="003A6650"/>
    <w:rsid w:val="003B060C"/>
    <w:rsid w:val="003B0D79"/>
    <w:rsid w:val="003B2CF1"/>
    <w:rsid w:val="003B5672"/>
    <w:rsid w:val="003C15A1"/>
    <w:rsid w:val="003C318F"/>
    <w:rsid w:val="003C340C"/>
    <w:rsid w:val="003C6946"/>
    <w:rsid w:val="003C79EE"/>
    <w:rsid w:val="003C7D56"/>
    <w:rsid w:val="003C7EC6"/>
    <w:rsid w:val="003D19FC"/>
    <w:rsid w:val="003D392E"/>
    <w:rsid w:val="003D3ED2"/>
    <w:rsid w:val="003D43C2"/>
    <w:rsid w:val="003D6591"/>
    <w:rsid w:val="003E4510"/>
    <w:rsid w:val="003F1FA3"/>
    <w:rsid w:val="003F2498"/>
    <w:rsid w:val="003F32CA"/>
    <w:rsid w:val="003F6EA5"/>
    <w:rsid w:val="003F72C1"/>
    <w:rsid w:val="00400F15"/>
    <w:rsid w:val="00400FB0"/>
    <w:rsid w:val="00403FC8"/>
    <w:rsid w:val="0041103D"/>
    <w:rsid w:val="00412E94"/>
    <w:rsid w:val="004131ED"/>
    <w:rsid w:val="00415335"/>
    <w:rsid w:val="00422AA4"/>
    <w:rsid w:val="004304C1"/>
    <w:rsid w:val="00430D40"/>
    <w:rsid w:val="004334BD"/>
    <w:rsid w:val="00443CF5"/>
    <w:rsid w:val="004624CB"/>
    <w:rsid w:val="0046527F"/>
    <w:rsid w:val="0047134A"/>
    <w:rsid w:val="00473753"/>
    <w:rsid w:val="00474483"/>
    <w:rsid w:val="00476507"/>
    <w:rsid w:val="00476E81"/>
    <w:rsid w:val="0048284D"/>
    <w:rsid w:val="00485374"/>
    <w:rsid w:val="0048647A"/>
    <w:rsid w:val="00491CF7"/>
    <w:rsid w:val="0049360A"/>
    <w:rsid w:val="0049390F"/>
    <w:rsid w:val="0049676E"/>
    <w:rsid w:val="004A2F0E"/>
    <w:rsid w:val="004B1995"/>
    <w:rsid w:val="004B44A1"/>
    <w:rsid w:val="004B4961"/>
    <w:rsid w:val="004C1F8D"/>
    <w:rsid w:val="004C1FED"/>
    <w:rsid w:val="004D0678"/>
    <w:rsid w:val="004D0F09"/>
    <w:rsid w:val="004D3A27"/>
    <w:rsid w:val="004E3BD5"/>
    <w:rsid w:val="004E6D66"/>
    <w:rsid w:val="004F1C2F"/>
    <w:rsid w:val="004F3263"/>
    <w:rsid w:val="004F4833"/>
    <w:rsid w:val="005002B1"/>
    <w:rsid w:val="00511D49"/>
    <w:rsid w:val="0051494F"/>
    <w:rsid w:val="00515DFC"/>
    <w:rsid w:val="00516343"/>
    <w:rsid w:val="00526993"/>
    <w:rsid w:val="005274EA"/>
    <w:rsid w:val="00527552"/>
    <w:rsid w:val="005309C4"/>
    <w:rsid w:val="00530C51"/>
    <w:rsid w:val="00531814"/>
    <w:rsid w:val="00532C6D"/>
    <w:rsid w:val="005339C6"/>
    <w:rsid w:val="00535245"/>
    <w:rsid w:val="00536D1F"/>
    <w:rsid w:val="00540442"/>
    <w:rsid w:val="00540E40"/>
    <w:rsid w:val="0054107E"/>
    <w:rsid w:val="0054242A"/>
    <w:rsid w:val="0055066C"/>
    <w:rsid w:val="00551C06"/>
    <w:rsid w:val="00553688"/>
    <w:rsid w:val="00554128"/>
    <w:rsid w:val="005547D7"/>
    <w:rsid w:val="00563042"/>
    <w:rsid w:val="00563998"/>
    <w:rsid w:val="0056711D"/>
    <w:rsid w:val="005677D9"/>
    <w:rsid w:val="00573C8F"/>
    <w:rsid w:val="005818A9"/>
    <w:rsid w:val="005829A2"/>
    <w:rsid w:val="005834B7"/>
    <w:rsid w:val="00586CF4"/>
    <w:rsid w:val="00587789"/>
    <w:rsid w:val="00591E11"/>
    <w:rsid w:val="005923C7"/>
    <w:rsid w:val="00597E4A"/>
    <w:rsid w:val="005B30C9"/>
    <w:rsid w:val="005B3ABC"/>
    <w:rsid w:val="005B4E52"/>
    <w:rsid w:val="005B6724"/>
    <w:rsid w:val="005C1B62"/>
    <w:rsid w:val="005D30DB"/>
    <w:rsid w:val="005D36C9"/>
    <w:rsid w:val="005D3BD2"/>
    <w:rsid w:val="005D4745"/>
    <w:rsid w:val="005D4886"/>
    <w:rsid w:val="005D543F"/>
    <w:rsid w:val="005D5602"/>
    <w:rsid w:val="005D571D"/>
    <w:rsid w:val="005D79D3"/>
    <w:rsid w:val="005E1276"/>
    <w:rsid w:val="005E6ADA"/>
    <w:rsid w:val="00601B74"/>
    <w:rsid w:val="0060342A"/>
    <w:rsid w:val="006078B7"/>
    <w:rsid w:val="00607ACE"/>
    <w:rsid w:val="00610DE7"/>
    <w:rsid w:val="00611342"/>
    <w:rsid w:val="00613EFB"/>
    <w:rsid w:val="00615D7A"/>
    <w:rsid w:val="00617598"/>
    <w:rsid w:val="00621E5B"/>
    <w:rsid w:val="00622055"/>
    <w:rsid w:val="00624AAE"/>
    <w:rsid w:val="006272F8"/>
    <w:rsid w:val="006274FE"/>
    <w:rsid w:val="0063047B"/>
    <w:rsid w:val="00635ED3"/>
    <w:rsid w:val="006409F8"/>
    <w:rsid w:val="00641FE2"/>
    <w:rsid w:val="00645A53"/>
    <w:rsid w:val="006473D6"/>
    <w:rsid w:val="00647B8C"/>
    <w:rsid w:val="006509D4"/>
    <w:rsid w:val="006531F1"/>
    <w:rsid w:val="006543A9"/>
    <w:rsid w:val="0066120D"/>
    <w:rsid w:val="00671B0D"/>
    <w:rsid w:val="00673208"/>
    <w:rsid w:val="006761B6"/>
    <w:rsid w:val="006806F2"/>
    <w:rsid w:val="006812C4"/>
    <w:rsid w:val="006845D7"/>
    <w:rsid w:val="00690921"/>
    <w:rsid w:val="006945AC"/>
    <w:rsid w:val="00694A83"/>
    <w:rsid w:val="00694AD2"/>
    <w:rsid w:val="006A064F"/>
    <w:rsid w:val="006A08A8"/>
    <w:rsid w:val="006A1460"/>
    <w:rsid w:val="006A2BFF"/>
    <w:rsid w:val="006A4065"/>
    <w:rsid w:val="006A4A3B"/>
    <w:rsid w:val="006A6917"/>
    <w:rsid w:val="006A730E"/>
    <w:rsid w:val="006B1B95"/>
    <w:rsid w:val="006B3EB4"/>
    <w:rsid w:val="006B5324"/>
    <w:rsid w:val="006B5FC7"/>
    <w:rsid w:val="006C11FF"/>
    <w:rsid w:val="006C2EAC"/>
    <w:rsid w:val="006C2F7D"/>
    <w:rsid w:val="006C31F7"/>
    <w:rsid w:val="006C38A6"/>
    <w:rsid w:val="006C435C"/>
    <w:rsid w:val="006C7298"/>
    <w:rsid w:val="006C7CC5"/>
    <w:rsid w:val="006D2671"/>
    <w:rsid w:val="006D3DA1"/>
    <w:rsid w:val="006D410A"/>
    <w:rsid w:val="006D7307"/>
    <w:rsid w:val="006F1719"/>
    <w:rsid w:val="006F2C91"/>
    <w:rsid w:val="006F3E07"/>
    <w:rsid w:val="00705243"/>
    <w:rsid w:val="00705401"/>
    <w:rsid w:val="007061AF"/>
    <w:rsid w:val="00707D8B"/>
    <w:rsid w:val="00710627"/>
    <w:rsid w:val="007303BE"/>
    <w:rsid w:val="00731040"/>
    <w:rsid w:val="00735B4A"/>
    <w:rsid w:val="00737580"/>
    <w:rsid w:val="00743551"/>
    <w:rsid w:val="00745A3B"/>
    <w:rsid w:val="00746D86"/>
    <w:rsid w:val="00753213"/>
    <w:rsid w:val="0075475E"/>
    <w:rsid w:val="00760AB1"/>
    <w:rsid w:val="007620FC"/>
    <w:rsid w:val="00762C9C"/>
    <w:rsid w:val="007631E8"/>
    <w:rsid w:val="00765738"/>
    <w:rsid w:val="0076633F"/>
    <w:rsid w:val="007700E1"/>
    <w:rsid w:val="007703ED"/>
    <w:rsid w:val="0077185C"/>
    <w:rsid w:val="0077301C"/>
    <w:rsid w:val="00780F45"/>
    <w:rsid w:val="007855D5"/>
    <w:rsid w:val="00787EA1"/>
    <w:rsid w:val="007926B3"/>
    <w:rsid w:val="00795472"/>
    <w:rsid w:val="00797495"/>
    <w:rsid w:val="007A1FC7"/>
    <w:rsid w:val="007A29DE"/>
    <w:rsid w:val="007A677A"/>
    <w:rsid w:val="007A6825"/>
    <w:rsid w:val="007A7AC3"/>
    <w:rsid w:val="007B01DC"/>
    <w:rsid w:val="007B54F5"/>
    <w:rsid w:val="007C1E4C"/>
    <w:rsid w:val="007C34B8"/>
    <w:rsid w:val="007C4F16"/>
    <w:rsid w:val="007C6692"/>
    <w:rsid w:val="007C7AFC"/>
    <w:rsid w:val="007D0170"/>
    <w:rsid w:val="007D5E09"/>
    <w:rsid w:val="007D7C08"/>
    <w:rsid w:val="007E3B30"/>
    <w:rsid w:val="007E4244"/>
    <w:rsid w:val="007E734D"/>
    <w:rsid w:val="007E7693"/>
    <w:rsid w:val="007F19BA"/>
    <w:rsid w:val="007F2160"/>
    <w:rsid w:val="007F4023"/>
    <w:rsid w:val="00801331"/>
    <w:rsid w:val="00803C6E"/>
    <w:rsid w:val="008072AF"/>
    <w:rsid w:val="00820866"/>
    <w:rsid w:val="00822492"/>
    <w:rsid w:val="00834B41"/>
    <w:rsid w:val="0084114A"/>
    <w:rsid w:val="00844477"/>
    <w:rsid w:val="0084541C"/>
    <w:rsid w:val="008533EB"/>
    <w:rsid w:val="008643DE"/>
    <w:rsid w:val="00864F1D"/>
    <w:rsid w:val="00866E03"/>
    <w:rsid w:val="008671EA"/>
    <w:rsid w:val="0087093E"/>
    <w:rsid w:val="00871F65"/>
    <w:rsid w:val="00877607"/>
    <w:rsid w:val="00882A41"/>
    <w:rsid w:val="008A4B0E"/>
    <w:rsid w:val="008A67E6"/>
    <w:rsid w:val="008B1409"/>
    <w:rsid w:val="008B3F2F"/>
    <w:rsid w:val="008B5505"/>
    <w:rsid w:val="008C023B"/>
    <w:rsid w:val="008C4446"/>
    <w:rsid w:val="008C462B"/>
    <w:rsid w:val="008D0AA7"/>
    <w:rsid w:val="008D6F29"/>
    <w:rsid w:val="008D7283"/>
    <w:rsid w:val="008E4D1B"/>
    <w:rsid w:val="008F266F"/>
    <w:rsid w:val="0090113A"/>
    <w:rsid w:val="00901C68"/>
    <w:rsid w:val="00907713"/>
    <w:rsid w:val="00907B71"/>
    <w:rsid w:val="00910375"/>
    <w:rsid w:val="009121E6"/>
    <w:rsid w:val="00914A6B"/>
    <w:rsid w:val="0091517E"/>
    <w:rsid w:val="00916AE7"/>
    <w:rsid w:val="00920F0C"/>
    <w:rsid w:val="00922992"/>
    <w:rsid w:val="00925D64"/>
    <w:rsid w:val="00930491"/>
    <w:rsid w:val="0093206D"/>
    <w:rsid w:val="00933C11"/>
    <w:rsid w:val="009365F3"/>
    <w:rsid w:val="0093737E"/>
    <w:rsid w:val="00945635"/>
    <w:rsid w:val="009500B8"/>
    <w:rsid w:val="00957520"/>
    <w:rsid w:val="00961EF4"/>
    <w:rsid w:val="009664BB"/>
    <w:rsid w:val="00971D79"/>
    <w:rsid w:val="00972576"/>
    <w:rsid w:val="00974FD8"/>
    <w:rsid w:val="0097523C"/>
    <w:rsid w:val="0097651E"/>
    <w:rsid w:val="009816F1"/>
    <w:rsid w:val="00981C48"/>
    <w:rsid w:val="00984A5E"/>
    <w:rsid w:val="009855AE"/>
    <w:rsid w:val="00986B1E"/>
    <w:rsid w:val="00986C71"/>
    <w:rsid w:val="0099047D"/>
    <w:rsid w:val="00990C95"/>
    <w:rsid w:val="00996A49"/>
    <w:rsid w:val="009971AF"/>
    <w:rsid w:val="009A76B0"/>
    <w:rsid w:val="009A7DD1"/>
    <w:rsid w:val="009B1984"/>
    <w:rsid w:val="009B28D9"/>
    <w:rsid w:val="009B3C8F"/>
    <w:rsid w:val="009C0DE4"/>
    <w:rsid w:val="009C29CF"/>
    <w:rsid w:val="009C6164"/>
    <w:rsid w:val="009D4DC4"/>
    <w:rsid w:val="009D58E8"/>
    <w:rsid w:val="009E2A51"/>
    <w:rsid w:val="009E441E"/>
    <w:rsid w:val="009E4EB6"/>
    <w:rsid w:val="009F12F3"/>
    <w:rsid w:val="009F2B1C"/>
    <w:rsid w:val="009F7061"/>
    <w:rsid w:val="009F7B3D"/>
    <w:rsid w:val="00A0023A"/>
    <w:rsid w:val="00A00A78"/>
    <w:rsid w:val="00A02B11"/>
    <w:rsid w:val="00A058BC"/>
    <w:rsid w:val="00A11C37"/>
    <w:rsid w:val="00A122FE"/>
    <w:rsid w:val="00A15176"/>
    <w:rsid w:val="00A22EF7"/>
    <w:rsid w:val="00A24BBC"/>
    <w:rsid w:val="00A25190"/>
    <w:rsid w:val="00A26254"/>
    <w:rsid w:val="00A334C7"/>
    <w:rsid w:val="00A33795"/>
    <w:rsid w:val="00A44DF5"/>
    <w:rsid w:val="00A4658C"/>
    <w:rsid w:val="00A46DCA"/>
    <w:rsid w:val="00A52E15"/>
    <w:rsid w:val="00A52EAE"/>
    <w:rsid w:val="00A5551F"/>
    <w:rsid w:val="00A55E90"/>
    <w:rsid w:val="00A56916"/>
    <w:rsid w:val="00A614C1"/>
    <w:rsid w:val="00A61842"/>
    <w:rsid w:val="00A6431C"/>
    <w:rsid w:val="00A669B3"/>
    <w:rsid w:val="00A72453"/>
    <w:rsid w:val="00A7456A"/>
    <w:rsid w:val="00A75C62"/>
    <w:rsid w:val="00A771B9"/>
    <w:rsid w:val="00A844D4"/>
    <w:rsid w:val="00A957FC"/>
    <w:rsid w:val="00A96735"/>
    <w:rsid w:val="00AA27C2"/>
    <w:rsid w:val="00AA2A59"/>
    <w:rsid w:val="00AB276F"/>
    <w:rsid w:val="00AB39A0"/>
    <w:rsid w:val="00AC6784"/>
    <w:rsid w:val="00AC7326"/>
    <w:rsid w:val="00AD0186"/>
    <w:rsid w:val="00AD2AFC"/>
    <w:rsid w:val="00AD37B5"/>
    <w:rsid w:val="00AD6B8F"/>
    <w:rsid w:val="00AD7E6C"/>
    <w:rsid w:val="00AE1690"/>
    <w:rsid w:val="00AE4511"/>
    <w:rsid w:val="00AE6CD3"/>
    <w:rsid w:val="00AF18E5"/>
    <w:rsid w:val="00AF487B"/>
    <w:rsid w:val="00AF6A77"/>
    <w:rsid w:val="00AF6B3B"/>
    <w:rsid w:val="00AF7171"/>
    <w:rsid w:val="00B01663"/>
    <w:rsid w:val="00B14891"/>
    <w:rsid w:val="00B15EC9"/>
    <w:rsid w:val="00B16BB9"/>
    <w:rsid w:val="00B17AB1"/>
    <w:rsid w:val="00B17E99"/>
    <w:rsid w:val="00B2224B"/>
    <w:rsid w:val="00B26B08"/>
    <w:rsid w:val="00B35999"/>
    <w:rsid w:val="00B35F0C"/>
    <w:rsid w:val="00B36333"/>
    <w:rsid w:val="00B42539"/>
    <w:rsid w:val="00B4286A"/>
    <w:rsid w:val="00B43104"/>
    <w:rsid w:val="00B55262"/>
    <w:rsid w:val="00B55E9A"/>
    <w:rsid w:val="00B560B2"/>
    <w:rsid w:val="00B63B3F"/>
    <w:rsid w:val="00B701C9"/>
    <w:rsid w:val="00B73C3A"/>
    <w:rsid w:val="00B74B36"/>
    <w:rsid w:val="00B75796"/>
    <w:rsid w:val="00B77BA1"/>
    <w:rsid w:val="00B84FF4"/>
    <w:rsid w:val="00B9779D"/>
    <w:rsid w:val="00BA1667"/>
    <w:rsid w:val="00BA17F9"/>
    <w:rsid w:val="00BA42A0"/>
    <w:rsid w:val="00BA64A4"/>
    <w:rsid w:val="00BA6780"/>
    <w:rsid w:val="00BB094C"/>
    <w:rsid w:val="00BB64EA"/>
    <w:rsid w:val="00BC24F3"/>
    <w:rsid w:val="00BC4780"/>
    <w:rsid w:val="00BD19F4"/>
    <w:rsid w:val="00BD1B38"/>
    <w:rsid w:val="00BD1DBA"/>
    <w:rsid w:val="00BE3CAA"/>
    <w:rsid w:val="00BE71C2"/>
    <w:rsid w:val="00BF6110"/>
    <w:rsid w:val="00BF7BCD"/>
    <w:rsid w:val="00BF7D29"/>
    <w:rsid w:val="00C02990"/>
    <w:rsid w:val="00C036FE"/>
    <w:rsid w:val="00C054E4"/>
    <w:rsid w:val="00C078BC"/>
    <w:rsid w:val="00C10276"/>
    <w:rsid w:val="00C112F5"/>
    <w:rsid w:val="00C161DC"/>
    <w:rsid w:val="00C16392"/>
    <w:rsid w:val="00C21DBE"/>
    <w:rsid w:val="00C24350"/>
    <w:rsid w:val="00C24D55"/>
    <w:rsid w:val="00C27F86"/>
    <w:rsid w:val="00C30166"/>
    <w:rsid w:val="00C30FC9"/>
    <w:rsid w:val="00C312FB"/>
    <w:rsid w:val="00C324A4"/>
    <w:rsid w:val="00C33E45"/>
    <w:rsid w:val="00C36631"/>
    <w:rsid w:val="00C37E90"/>
    <w:rsid w:val="00C40095"/>
    <w:rsid w:val="00C4145B"/>
    <w:rsid w:val="00C43C3F"/>
    <w:rsid w:val="00C4550C"/>
    <w:rsid w:val="00C459CC"/>
    <w:rsid w:val="00C47664"/>
    <w:rsid w:val="00C47C3B"/>
    <w:rsid w:val="00C50424"/>
    <w:rsid w:val="00C519C1"/>
    <w:rsid w:val="00C52625"/>
    <w:rsid w:val="00C5319B"/>
    <w:rsid w:val="00C532DD"/>
    <w:rsid w:val="00C54772"/>
    <w:rsid w:val="00C54BBB"/>
    <w:rsid w:val="00C64161"/>
    <w:rsid w:val="00C64D61"/>
    <w:rsid w:val="00C7335B"/>
    <w:rsid w:val="00C749F5"/>
    <w:rsid w:val="00C75523"/>
    <w:rsid w:val="00C76023"/>
    <w:rsid w:val="00C76561"/>
    <w:rsid w:val="00C76C4D"/>
    <w:rsid w:val="00C83BAB"/>
    <w:rsid w:val="00C93FBC"/>
    <w:rsid w:val="00C95B80"/>
    <w:rsid w:val="00C9619D"/>
    <w:rsid w:val="00CA3091"/>
    <w:rsid w:val="00CA4A24"/>
    <w:rsid w:val="00CB0B4F"/>
    <w:rsid w:val="00CB3C75"/>
    <w:rsid w:val="00CB67F4"/>
    <w:rsid w:val="00CB7E33"/>
    <w:rsid w:val="00CC0EC2"/>
    <w:rsid w:val="00CC1F57"/>
    <w:rsid w:val="00CC7648"/>
    <w:rsid w:val="00CD0AC8"/>
    <w:rsid w:val="00CD2176"/>
    <w:rsid w:val="00CD3AAE"/>
    <w:rsid w:val="00CE1ED9"/>
    <w:rsid w:val="00CE2E54"/>
    <w:rsid w:val="00CE4625"/>
    <w:rsid w:val="00CF2DFE"/>
    <w:rsid w:val="00CF5396"/>
    <w:rsid w:val="00CF557C"/>
    <w:rsid w:val="00CF6FB8"/>
    <w:rsid w:val="00CF78E9"/>
    <w:rsid w:val="00D01112"/>
    <w:rsid w:val="00D012C9"/>
    <w:rsid w:val="00D02244"/>
    <w:rsid w:val="00D03EBF"/>
    <w:rsid w:val="00D05481"/>
    <w:rsid w:val="00D11A95"/>
    <w:rsid w:val="00D12ED0"/>
    <w:rsid w:val="00D13A38"/>
    <w:rsid w:val="00D13F7D"/>
    <w:rsid w:val="00D152FD"/>
    <w:rsid w:val="00D20197"/>
    <w:rsid w:val="00D21A48"/>
    <w:rsid w:val="00D21D2B"/>
    <w:rsid w:val="00D22C34"/>
    <w:rsid w:val="00D26720"/>
    <w:rsid w:val="00D27391"/>
    <w:rsid w:val="00D279B7"/>
    <w:rsid w:val="00D34036"/>
    <w:rsid w:val="00D42346"/>
    <w:rsid w:val="00D426F7"/>
    <w:rsid w:val="00D448EC"/>
    <w:rsid w:val="00D46B92"/>
    <w:rsid w:val="00D47F54"/>
    <w:rsid w:val="00D536B5"/>
    <w:rsid w:val="00D5449E"/>
    <w:rsid w:val="00D54B68"/>
    <w:rsid w:val="00D57CE3"/>
    <w:rsid w:val="00D619D7"/>
    <w:rsid w:val="00D62AFC"/>
    <w:rsid w:val="00D67E8F"/>
    <w:rsid w:val="00D710A2"/>
    <w:rsid w:val="00D71124"/>
    <w:rsid w:val="00D77FEF"/>
    <w:rsid w:val="00D82803"/>
    <w:rsid w:val="00D85F01"/>
    <w:rsid w:val="00D861F2"/>
    <w:rsid w:val="00D945B6"/>
    <w:rsid w:val="00D96B4C"/>
    <w:rsid w:val="00DA69BB"/>
    <w:rsid w:val="00DA72D9"/>
    <w:rsid w:val="00DA7B5D"/>
    <w:rsid w:val="00DB1A01"/>
    <w:rsid w:val="00DB1AE0"/>
    <w:rsid w:val="00DB6137"/>
    <w:rsid w:val="00DC185E"/>
    <w:rsid w:val="00DC31C6"/>
    <w:rsid w:val="00DC4050"/>
    <w:rsid w:val="00DD17FE"/>
    <w:rsid w:val="00DD2A25"/>
    <w:rsid w:val="00DD6357"/>
    <w:rsid w:val="00DE4C29"/>
    <w:rsid w:val="00DF1B45"/>
    <w:rsid w:val="00E05C1A"/>
    <w:rsid w:val="00E067E8"/>
    <w:rsid w:val="00E1396B"/>
    <w:rsid w:val="00E15B58"/>
    <w:rsid w:val="00E15F88"/>
    <w:rsid w:val="00E16FA9"/>
    <w:rsid w:val="00E173C9"/>
    <w:rsid w:val="00E20D23"/>
    <w:rsid w:val="00E238A3"/>
    <w:rsid w:val="00E27700"/>
    <w:rsid w:val="00E30F14"/>
    <w:rsid w:val="00E31A9E"/>
    <w:rsid w:val="00E32DD4"/>
    <w:rsid w:val="00E34593"/>
    <w:rsid w:val="00E3491A"/>
    <w:rsid w:val="00E34A0E"/>
    <w:rsid w:val="00E4178C"/>
    <w:rsid w:val="00E53226"/>
    <w:rsid w:val="00E54CE8"/>
    <w:rsid w:val="00E55BD1"/>
    <w:rsid w:val="00E61F63"/>
    <w:rsid w:val="00E6283D"/>
    <w:rsid w:val="00E62D43"/>
    <w:rsid w:val="00E636D8"/>
    <w:rsid w:val="00E66492"/>
    <w:rsid w:val="00E7006D"/>
    <w:rsid w:val="00E74AD0"/>
    <w:rsid w:val="00E8010B"/>
    <w:rsid w:val="00E822C8"/>
    <w:rsid w:val="00E83003"/>
    <w:rsid w:val="00E95DD7"/>
    <w:rsid w:val="00EA0F7E"/>
    <w:rsid w:val="00EA2868"/>
    <w:rsid w:val="00EA2A3B"/>
    <w:rsid w:val="00EA4CCC"/>
    <w:rsid w:val="00EA6CAA"/>
    <w:rsid w:val="00EA70A3"/>
    <w:rsid w:val="00EB1C5E"/>
    <w:rsid w:val="00EB51B6"/>
    <w:rsid w:val="00EB6F30"/>
    <w:rsid w:val="00EC0BEB"/>
    <w:rsid w:val="00EC2977"/>
    <w:rsid w:val="00EC58B3"/>
    <w:rsid w:val="00ED63D7"/>
    <w:rsid w:val="00ED7857"/>
    <w:rsid w:val="00EE2858"/>
    <w:rsid w:val="00EE69CD"/>
    <w:rsid w:val="00EE6EDC"/>
    <w:rsid w:val="00EE6F3B"/>
    <w:rsid w:val="00EF1B1A"/>
    <w:rsid w:val="00EF63E9"/>
    <w:rsid w:val="00F03086"/>
    <w:rsid w:val="00F040DF"/>
    <w:rsid w:val="00F05117"/>
    <w:rsid w:val="00F16DEC"/>
    <w:rsid w:val="00F200D3"/>
    <w:rsid w:val="00F21F96"/>
    <w:rsid w:val="00F230B3"/>
    <w:rsid w:val="00F23EA5"/>
    <w:rsid w:val="00F245B3"/>
    <w:rsid w:val="00F25118"/>
    <w:rsid w:val="00F2630D"/>
    <w:rsid w:val="00F267BC"/>
    <w:rsid w:val="00F301A5"/>
    <w:rsid w:val="00F3134B"/>
    <w:rsid w:val="00F32641"/>
    <w:rsid w:val="00F348FC"/>
    <w:rsid w:val="00F4037B"/>
    <w:rsid w:val="00F44354"/>
    <w:rsid w:val="00F453F3"/>
    <w:rsid w:val="00F45466"/>
    <w:rsid w:val="00F46218"/>
    <w:rsid w:val="00F46582"/>
    <w:rsid w:val="00F53A10"/>
    <w:rsid w:val="00F5478B"/>
    <w:rsid w:val="00F620E2"/>
    <w:rsid w:val="00F632C3"/>
    <w:rsid w:val="00F70999"/>
    <w:rsid w:val="00F731AD"/>
    <w:rsid w:val="00F73214"/>
    <w:rsid w:val="00F816EB"/>
    <w:rsid w:val="00F82FAD"/>
    <w:rsid w:val="00F8721A"/>
    <w:rsid w:val="00F90DC3"/>
    <w:rsid w:val="00F922C0"/>
    <w:rsid w:val="00F96176"/>
    <w:rsid w:val="00FA0A53"/>
    <w:rsid w:val="00FA32B9"/>
    <w:rsid w:val="00FA3FAB"/>
    <w:rsid w:val="00FA7CB8"/>
    <w:rsid w:val="00FB14D5"/>
    <w:rsid w:val="00FB4243"/>
    <w:rsid w:val="00FB4D06"/>
    <w:rsid w:val="00FC4DC4"/>
    <w:rsid w:val="00FD092B"/>
    <w:rsid w:val="00FD190E"/>
    <w:rsid w:val="00FD1DE7"/>
    <w:rsid w:val="00FD4610"/>
    <w:rsid w:val="00FD76C3"/>
    <w:rsid w:val="00FE40C1"/>
    <w:rsid w:val="00FF42E5"/>
    <w:rsid w:val="00FF47C7"/>
    <w:rsid w:val="00FF56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92CB1"/>
  <w15:chartTrackingRefBased/>
  <w15:docId w15:val="{A5D5B9B9-1BC9-48A1-AEC6-1D1DC727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4B1"/>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334B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34B1"/>
    <w:rPr>
      <w:sz w:val="20"/>
      <w:szCs w:val="20"/>
      <w:lang w:val="fr-FR"/>
    </w:rPr>
  </w:style>
  <w:style w:type="character" w:styleId="Appelnotedebasdep">
    <w:name w:val="footnote reference"/>
    <w:basedOn w:val="Policepardfaut"/>
    <w:uiPriority w:val="99"/>
    <w:semiHidden/>
    <w:unhideWhenUsed/>
    <w:rsid w:val="001334B1"/>
    <w:rPr>
      <w:vertAlign w:val="superscript"/>
    </w:rPr>
  </w:style>
  <w:style w:type="paragraph" w:styleId="Paragraphedeliste">
    <w:name w:val="List Paragraph"/>
    <w:basedOn w:val="Normal"/>
    <w:uiPriority w:val="34"/>
    <w:qFormat/>
    <w:rsid w:val="00AC6784"/>
    <w:pPr>
      <w:ind w:left="720"/>
      <w:contextualSpacing/>
    </w:pPr>
  </w:style>
  <w:style w:type="character" w:styleId="Textedelespacerserv">
    <w:name w:val="Placeholder Text"/>
    <w:basedOn w:val="Policepardfaut"/>
    <w:uiPriority w:val="99"/>
    <w:semiHidden/>
    <w:rsid w:val="009F2B1C"/>
    <w:rPr>
      <w:color w:val="808080"/>
    </w:rPr>
  </w:style>
  <w:style w:type="paragraph" w:styleId="En-tte">
    <w:name w:val="header"/>
    <w:basedOn w:val="Normal"/>
    <w:link w:val="En-tteCar"/>
    <w:uiPriority w:val="99"/>
    <w:unhideWhenUsed/>
    <w:rsid w:val="00D20197"/>
    <w:pPr>
      <w:tabs>
        <w:tab w:val="center" w:pos="4513"/>
        <w:tab w:val="right" w:pos="9026"/>
      </w:tabs>
      <w:spacing w:after="0" w:line="240" w:lineRule="auto"/>
    </w:pPr>
  </w:style>
  <w:style w:type="character" w:customStyle="1" w:styleId="En-tteCar">
    <w:name w:val="En-tête Car"/>
    <w:basedOn w:val="Policepardfaut"/>
    <w:link w:val="En-tte"/>
    <w:uiPriority w:val="99"/>
    <w:rsid w:val="00D20197"/>
    <w:rPr>
      <w:lang w:val="fr-FR"/>
    </w:rPr>
  </w:style>
  <w:style w:type="paragraph" w:styleId="Pieddepage">
    <w:name w:val="footer"/>
    <w:basedOn w:val="Normal"/>
    <w:link w:val="PieddepageCar"/>
    <w:uiPriority w:val="99"/>
    <w:unhideWhenUsed/>
    <w:rsid w:val="00D2019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20197"/>
    <w:rPr>
      <w:lang w:val="fr-FR"/>
    </w:rPr>
  </w:style>
  <w:style w:type="table" w:styleId="Grilledutableau">
    <w:name w:val="Table Grid"/>
    <w:basedOn w:val="TableauNormal"/>
    <w:uiPriority w:val="39"/>
    <w:rsid w:val="00493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EE6E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Policepardfaut"/>
    <w:rsid w:val="00871F65"/>
    <w:rPr>
      <w:rFonts w:ascii="TimesNewRomanPSMT" w:hAnsi="TimesNewRomanPSMT" w:hint="default"/>
      <w:b w:val="0"/>
      <w:bCs w:val="0"/>
      <w:i w:val="0"/>
      <w:iCs w:val="0"/>
      <w:color w:val="000000"/>
      <w:sz w:val="24"/>
      <w:szCs w:val="24"/>
    </w:rPr>
  </w:style>
  <w:style w:type="paragraph" w:customStyle="1" w:styleId="N1">
    <w:name w:val="N1"/>
    <w:basedOn w:val="Normal"/>
    <w:qFormat/>
    <w:rsid w:val="00871F65"/>
    <w:pPr>
      <w:jc w:val="center"/>
    </w:pPr>
    <w:rPr>
      <w:rFonts w:asciiTheme="majorBidi" w:hAnsiTheme="majorBidi" w:cstheme="majorBidi"/>
      <w:b/>
      <w:bCs/>
      <w:sz w:val="40"/>
      <w:szCs w:val="40"/>
    </w:rPr>
  </w:style>
  <w:style w:type="character" w:styleId="Lienhypertexte">
    <w:name w:val="Hyperlink"/>
    <w:basedOn w:val="Policepardfaut"/>
    <w:uiPriority w:val="99"/>
    <w:unhideWhenUsed/>
    <w:rsid w:val="006A08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9901">
      <w:bodyDiv w:val="1"/>
      <w:marLeft w:val="0"/>
      <w:marRight w:val="0"/>
      <w:marTop w:val="0"/>
      <w:marBottom w:val="0"/>
      <w:divBdr>
        <w:top w:val="none" w:sz="0" w:space="0" w:color="auto"/>
        <w:left w:val="none" w:sz="0" w:space="0" w:color="auto"/>
        <w:bottom w:val="none" w:sz="0" w:space="0" w:color="auto"/>
        <w:right w:val="none" w:sz="0" w:space="0" w:color="auto"/>
      </w:divBdr>
    </w:div>
    <w:div w:id="137963073">
      <w:bodyDiv w:val="1"/>
      <w:marLeft w:val="0"/>
      <w:marRight w:val="0"/>
      <w:marTop w:val="0"/>
      <w:marBottom w:val="0"/>
      <w:divBdr>
        <w:top w:val="none" w:sz="0" w:space="0" w:color="auto"/>
        <w:left w:val="none" w:sz="0" w:space="0" w:color="auto"/>
        <w:bottom w:val="none" w:sz="0" w:space="0" w:color="auto"/>
        <w:right w:val="none" w:sz="0" w:space="0" w:color="auto"/>
      </w:divBdr>
    </w:div>
    <w:div w:id="186606144">
      <w:bodyDiv w:val="1"/>
      <w:marLeft w:val="0"/>
      <w:marRight w:val="0"/>
      <w:marTop w:val="0"/>
      <w:marBottom w:val="0"/>
      <w:divBdr>
        <w:top w:val="none" w:sz="0" w:space="0" w:color="auto"/>
        <w:left w:val="none" w:sz="0" w:space="0" w:color="auto"/>
        <w:bottom w:val="none" w:sz="0" w:space="0" w:color="auto"/>
        <w:right w:val="none" w:sz="0" w:space="0" w:color="auto"/>
      </w:divBdr>
    </w:div>
    <w:div w:id="186869221">
      <w:bodyDiv w:val="1"/>
      <w:marLeft w:val="0"/>
      <w:marRight w:val="0"/>
      <w:marTop w:val="0"/>
      <w:marBottom w:val="0"/>
      <w:divBdr>
        <w:top w:val="none" w:sz="0" w:space="0" w:color="auto"/>
        <w:left w:val="none" w:sz="0" w:space="0" w:color="auto"/>
        <w:bottom w:val="none" w:sz="0" w:space="0" w:color="auto"/>
        <w:right w:val="none" w:sz="0" w:space="0" w:color="auto"/>
      </w:divBdr>
    </w:div>
    <w:div w:id="624510572">
      <w:bodyDiv w:val="1"/>
      <w:marLeft w:val="0"/>
      <w:marRight w:val="0"/>
      <w:marTop w:val="0"/>
      <w:marBottom w:val="0"/>
      <w:divBdr>
        <w:top w:val="none" w:sz="0" w:space="0" w:color="auto"/>
        <w:left w:val="none" w:sz="0" w:space="0" w:color="auto"/>
        <w:bottom w:val="none" w:sz="0" w:space="0" w:color="auto"/>
        <w:right w:val="none" w:sz="0" w:space="0" w:color="auto"/>
      </w:divBdr>
    </w:div>
    <w:div w:id="849221499">
      <w:bodyDiv w:val="1"/>
      <w:marLeft w:val="0"/>
      <w:marRight w:val="0"/>
      <w:marTop w:val="0"/>
      <w:marBottom w:val="0"/>
      <w:divBdr>
        <w:top w:val="none" w:sz="0" w:space="0" w:color="auto"/>
        <w:left w:val="none" w:sz="0" w:space="0" w:color="auto"/>
        <w:bottom w:val="none" w:sz="0" w:space="0" w:color="auto"/>
        <w:right w:val="none" w:sz="0" w:space="0" w:color="auto"/>
      </w:divBdr>
    </w:div>
    <w:div w:id="862282751">
      <w:bodyDiv w:val="1"/>
      <w:marLeft w:val="0"/>
      <w:marRight w:val="0"/>
      <w:marTop w:val="0"/>
      <w:marBottom w:val="0"/>
      <w:divBdr>
        <w:top w:val="none" w:sz="0" w:space="0" w:color="auto"/>
        <w:left w:val="none" w:sz="0" w:space="0" w:color="auto"/>
        <w:bottom w:val="none" w:sz="0" w:space="0" w:color="auto"/>
        <w:right w:val="none" w:sz="0" w:space="0" w:color="auto"/>
      </w:divBdr>
    </w:div>
    <w:div w:id="1204447018">
      <w:bodyDiv w:val="1"/>
      <w:marLeft w:val="0"/>
      <w:marRight w:val="0"/>
      <w:marTop w:val="0"/>
      <w:marBottom w:val="0"/>
      <w:divBdr>
        <w:top w:val="none" w:sz="0" w:space="0" w:color="auto"/>
        <w:left w:val="none" w:sz="0" w:space="0" w:color="auto"/>
        <w:bottom w:val="none" w:sz="0" w:space="0" w:color="auto"/>
        <w:right w:val="none" w:sz="0" w:space="0" w:color="auto"/>
      </w:divBdr>
    </w:div>
    <w:div w:id="1285818043">
      <w:bodyDiv w:val="1"/>
      <w:marLeft w:val="0"/>
      <w:marRight w:val="0"/>
      <w:marTop w:val="0"/>
      <w:marBottom w:val="0"/>
      <w:divBdr>
        <w:top w:val="none" w:sz="0" w:space="0" w:color="auto"/>
        <w:left w:val="none" w:sz="0" w:space="0" w:color="auto"/>
        <w:bottom w:val="none" w:sz="0" w:space="0" w:color="auto"/>
        <w:right w:val="none" w:sz="0" w:space="0" w:color="auto"/>
      </w:divBdr>
    </w:div>
    <w:div w:id="1507018503">
      <w:bodyDiv w:val="1"/>
      <w:marLeft w:val="0"/>
      <w:marRight w:val="0"/>
      <w:marTop w:val="0"/>
      <w:marBottom w:val="0"/>
      <w:divBdr>
        <w:top w:val="none" w:sz="0" w:space="0" w:color="auto"/>
        <w:left w:val="none" w:sz="0" w:space="0" w:color="auto"/>
        <w:bottom w:val="none" w:sz="0" w:space="0" w:color="auto"/>
        <w:right w:val="none" w:sz="0" w:space="0" w:color="auto"/>
      </w:divBdr>
    </w:div>
    <w:div w:id="1526600962">
      <w:bodyDiv w:val="1"/>
      <w:marLeft w:val="0"/>
      <w:marRight w:val="0"/>
      <w:marTop w:val="0"/>
      <w:marBottom w:val="0"/>
      <w:divBdr>
        <w:top w:val="none" w:sz="0" w:space="0" w:color="auto"/>
        <w:left w:val="none" w:sz="0" w:space="0" w:color="auto"/>
        <w:bottom w:val="none" w:sz="0" w:space="0" w:color="auto"/>
        <w:right w:val="none" w:sz="0" w:space="0" w:color="auto"/>
      </w:divBdr>
    </w:div>
    <w:div w:id="1580476674">
      <w:bodyDiv w:val="1"/>
      <w:marLeft w:val="0"/>
      <w:marRight w:val="0"/>
      <w:marTop w:val="0"/>
      <w:marBottom w:val="0"/>
      <w:divBdr>
        <w:top w:val="none" w:sz="0" w:space="0" w:color="auto"/>
        <w:left w:val="none" w:sz="0" w:space="0" w:color="auto"/>
        <w:bottom w:val="none" w:sz="0" w:space="0" w:color="auto"/>
        <w:right w:val="none" w:sz="0" w:space="0" w:color="auto"/>
      </w:divBdr>
    </w:div>
    <w:div w:id="1644889307">
      <w:bodyDiv w:val="1"/>
      <w:marLeft w:val="0"/>
      <w:marRight w:val="0"/>
      <w:marTop w:val="0"/>
      <w:marBottom w:val="0"/>
      <w:divBdr>
        <w:top w:val="none" w:sz="0" w:space="0" w:color="auto"/>
        <w:left w:val="none" w:sz="0" w:space="0" w:color="auto"/>
        <w:bottom w:val="none" w:sz="0" w:space="0" w:color="auto"/>
        <w:right w:val="none" w:sz="0" w:space="0" w:color="auto"/>
      </w:divBdr>
    </w:div>
    <w:div w:id="1703751915">
      <w:bodyDiv w:val="1"/>
      <w:marLeft w:val="0"/>
      <w:marRight w:val="0"/>
      <w:marTop w:val="0"/>
      <w:marBottom w:val="0"/>
      <w:divBdr>
        <w:top w:val="none" w:sz="0" w:space="0" w:color="auto"/>
        <w:left w:val="none" w:sz="0" w:space="0" w:color="auto"/>
        <w:bottom w:val="none" w:sz="0" w:space="0" w:color="auto"/>
        <w:right w:val="none" w:sz="0" w:space="0" w:color="auto"/>
      </w:divBdr>
    </w:div>
    <w:div w:id="1821537792">
      <w:bodyDiv w:val="1"/>
      <w:marLeft w:val="0"/>
      <w:marRight w:val="0"/>
      <w:marTop w:val="0"/>
      <w:marBottom w:val="0"/>
      <w:divBdr>
        <w:top w:val="none" w:sz="0" w:space="0" w:color="auto"/>
        <w:left w:val="none" w:sz="0" w:space="0" w:color="auto"/>
        <w:bottom w:val="none" w:sz="0" w:space="0" w:color="auto"/>
        <w:right w:val="none" w:sz="0" w:space="0" w:color="auto"/>
      </w:divBdr>
    </w:div>
    <w:div w:id="1949196427">
      <w:bodyDiv w:val="1"/>
      <w:marLeft w:val="0"/>
      <w:marRight w:val="0"/>
      <w:marTop w:val="0"/>
      <w:marBottom w:val="0"/>
      <w:divBdr>
        <w:top w:val="none" w:sz="0" w:space="0" w:color="auto"/>
        <w:left w:val="none" w:sz="0" w:space="0" w:color="auto"/>
        <w:bottom w:val="none" w:sz="0" w:space="0" w:color="auto"/>
        <w:right w:val="none" w:sz="0" w:space="0" w:color="auto"/>
      </w:divBdr>
    </w:div>
    <w:div w:id="204389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oty@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ssako.essiben@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7077F-B69F-4684-B97E-949EA368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14</Pages>
  <Words>4060</Words>
  <Characters>23148</Characters>
  <Application>Microsoft Office Word</Application>
  <DocSecurity>0</DocSecurity>
  <Lines>192</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HP</cp:lastModifiedBy>
  <cp:revision>364</cp:revision>
  <dcterms:created xsi:type="dcterms:W3CDTF">2019-05-04T19:30:00Z</dcterms:created>
  <dcterms:modified xsi:type="dcterms:W3CDTF">2019-05-17T07:44:00Z</dcterms:modified>
</cp:coreProperties>
</file>